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1109C" w14:textId="77777777" w:rsidR="008E67D9" w:rsidRDefault="008E67D9" w:rsidP="008E67D9">
      <w:pPr>
        <w:jc w:val="both"/>
      </w:pPr>
    </w:p>
    <w:p w14:paraId="30E71899" w14:textId="77777777" w:rsidR="0080410C" w:rsidRDefault="0080410C" w:rsidP="008E67D9">
      <w:pPr>
        <w:jc w:val="center"/>
        <w:rPr>
          <w:rFonts w:ascii="Arial Bold" w:hAnsi="Arial Bold"/>
          <w:b/>
          <w:sz w:val="40"/>
          <w:szCs w:val="40"/>
        </w:rPr>
      </w:pPr>
    </w:p>
    <w:p w14:paraId="2CA77CF3" w14:textId="77777777" w:rsidR="0080410C" w:rsidRDefault="0080410C" w:rsidP="008E67D9">
      <w:pPr>
        <w:jc w:val="center"/>
        <w:rPr>
          <w:rFonts w:ascii="Arial Bold" w:hAnsi="Arial Bold"/>
          <w:b/>
          <w:sz w:val="40"/>
          <w:szCs w:val="40"/>
        </w:rPr>
      </w:pPr>
    </w:p>
    <w:p w14:paraId="3071482D" w14:textId="77777777" w:rsidR="0080410C" w:rsidRDefault="0080410C" w:rsidP="008E67D9">
      <w:pPr>
        <w:jc w:val="center"/>
        <w:rPr>
          <w:rFonts w:ascii="Arial Bold" w:hAnsi="Arial Bold"/>
          <w:b/>
          <w:sz w:val="40"/>
          <w:szCs w:val="40"/>
        </w:rPr>
      </w:pPr>
    </w:p>
    <w:p w14:paraId="04EAAE48" w14:textId="77777777" w:rsidR="0080410C" w:rsidRDefault="0080410C" w:rsidP="008E67D9">
      <w:pPr>
        <w:jc w:val="center"/>
        <w:rPr>
          <w:rFonts w:ascii="Arial Bold" w:hAnsi="Arial Bold"/>
          <w:b/>
          <w:sz w:val="40"/>
          <w:szCs w:val="40"/>
        </w:rPr>
      </w:pPr>
    </w:p>
    <w:p w14:paraId="3A2CC205" w14:textId="2FC9BA87" w:rsidR="0080410C" w:rsidRDefault="002E7D79" w:rsidP="008E67D9">
      <w:pPr>
        <w:jc w:val="center"/>
        <w:rPr>
          <w:rFonts w:ascii="Arial Bold" w:hAnsi="Arial Bold"/>
          <w:b/>
          <w:noProof/>
          <w:sz w:val="40"/>
          <w:szCs w:val="40"/>
        </w:rPr>
      </w:pPr>
      <w:r w:rsidRPr="008C366A">
        <w:rPr>
          <w:rFonts w:ascii="Arial Bold" w:hAnsi="Arial Bold"/>
          <w:b/>
          <w:noProof/>
          <w:sz w:val="40"/>
          <w:szCs w:val="40"/>
        </w:rPr>
        <w:drawing>
          <wp:inline distT="0" distB="0" distL="0" distR="0" wp14:anchorId="032D7090" wp14:editId="0E4410E7">
            <wp:extent cx="4241800" cy="1754404"/>
            <wp:effectExtent l="0" t="0" r="6350" b="0"/>
            <wp:docPr id="1"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shfield District Council logo"/>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1800" cy="1754404"/>
                    </a:xfrm>
                    <a:prstGeom prst="rect">
                      <a:avLst/>
                    </a:prstGeom>
                    <a:noFill/>
                    <a:ln>
                      <a:noFill/>
                    </a:ln>
                  </pic:spPr>
                </pic:pic>
              </a:graphicData>
            </a:graphic>
          </wp:inline>
        </w:drawing>
      </w:r>
    </w:p>
    <w:p w14:paraId="621C06B1" w14:textId="77777777" w:rsidR="008C366A" w:rsidRDefault="008C366A" w:rsidP="008E67D9">
      <w:pPr>
        <w:jc w:val="center"/>
        <w:rPr>
          <w:rFonts w:ascii="Arial Bold" w:hAnsi="Arial Bold"/>
          <w:b/>
          <w:sz w:val="40"/>
          <w:szCs w:val="40"/>
        </w:rPr>
      </w:pPr>
    </w:p>
    <w:p w14:paraId="68399C13" w14:textId="77777777" w:rsidR="008E67D9" w:rsidRDefault="008E67D9" w:rsidP="008E67D9">
      <w:pPr>
        <w:jc w:val="center"/>
        <w:rPr>
          <w:rFonts w:ascii="Arial Bold" w:hAnsi="Arial Bold"/>
          <w:b/>
          <w:sz w:val="40"/>
          <w:szCs w:val="40"/>
        </w:rPr>
      </w:pPr>
    </w:p>
    <w:p w14:paraId="052574B3" w14:textId="77777777" w:rsidR="002A2B64" w:rsidRDefault="00F04077" w:rsidP="002E7D79">
      <w:pPr>
        <w:pStyle w:val="Frontcoverheading"/>
      </w:pPr>
      <w:r>
        <w:t>Relocation Policy</w:t>
      </w:r>
    </w:p>
    <w:p w14:paraId="08FAAACE" w14:textId="77777777" w:rsidR="002A2B64" w:rsidRDefault="002A2B64" w:rsidP="008E67D9">
      <w:pPr>
        <w:jc w:val="center"/>
        <w:rPr>
          <w:rFonts w:ascii="Arial Bold" w:hAnsi="Arial Bold"/>
          <w:b/>
          <w:sz w:val="40"/>
          <w:szCs w:val="40"/>
        </w:rPr>
      </w:pPr>
    </w:p>
    <w:p w14:paraId="13776805" w14:textId="77777777" w:rsidR="002A6908" w:rsidRDefault="002A6908" w:rsidP="008E67D9">
      <w:pPr>
        <w:jc w:val="center"/>
        <w:rPr>
          <w:rFonts w:ascii="Arial Bold" w:hAnsi="Arial Bold"/>
          <w:b/>
          <w:sz w:val="40"/>
          <w:szCs w:val="40"/>
        </w:rPr>
      </w:pPr>
    </w:p>
    <w:p w14:paraId="66DE50B8" w14:textId="77777777" w:rsidR="002A2B64" w:rsidRDefault="002A6908" w:rsidP="008E67D9">
      <w:pPr>
        <w:jc w:val="center"/>
        <w:rPr>
          <w:rFonts w:ascii="Arial Bold" w:hAnsi="Arial Bold"/>
          <w:b/>
          <w:sz w:val="40"/>
          <w:szCs w:val="40"/>
        </w:rPr>
      </w:pPr>
      <w:r>
        <w:rPr>
          <w:rFonts w:ascii="Arial Bold" w:hAnsi="Arial Bold"/>
          <w:b/>
          <w:sz w:val="40"/>
          <w:szCs w:val="40"/>
        </w:rPr>
        <w:t>February 2014</w:t>
      </w:r>
    </w:p>
    <w:p w14:paraId="79CB98ED" w14:textId="77777777" w:rsidR="008E67D9" w:rsidRDefault="008E67D9" w:rsidP="008E67D9">
      <w:pPr>
        <w:jc w:val="center"/>
        <w:rPr>
          <w:rFonts w:ascii="Arial Bold" w:hAnsi="Arial Bold"/>
          <w:b/>
          <w:sz w:val="40"/>
          <w:szCs w:val="40"/>
        </w:rPr>
      </w:pPr>
    </w:p>
    <w:p w14:paraId="5E25BEF2" w14:textId="77777777" w:rsidR="002B7F86" w:rsidRDefault="002B7F86" w:rsidP="008E67D9">
      <w:pPr>
        <w:jc w:val="center"/>
        <w:rPr>
          <w:rFonts w:ascii="Arial Bold" w:hAnsi="Arial Bold"/>
          <w:b/>
          <w:sz w:val="40"/>
          <w:szCs w:val="40"/>
        </w:rPr>
      </w:pPr>
    </w:p>
    <w:p w14:paraId="691B36EF" w14:textId="77777777" w:rsidR="002B7F86" w:rsidRDefault="002B7F86" w:rsidP="008E67D9">
      <w:pPr>
        <w:jc w:val="center"/>
        <w:rPr>
          <w:rFonts w:ascii="Arial Bold" w:hAnsi="Arial Bold"/>
          <w:b/>
          <w:sz w:val="40"/>
          <w:szCs w:val="40"/>
        </w:rPr>
      </w:pPr>
    </w:p>
    <w:p w14:paraId="541753AD" w14:textId="77777777" w:rsidR="002B7F86" w:rsidRDefault="002B7F86" w:rsidP="008E67D9">
      <w:pPr>
        <w:jc w:val="center"/>
        <w:rPr>
          <w:rFonts w:ascii="Arial Bold" w:hAnsi="Arial Bold"/>
          <w:b/>
          <w:sz w:val="40"/>
          <w:szCs w:val="40"/>
        </w:rPr>
      </w:pPr>
    </w:p>
    <w:p w14:paraId="1DF2006C" w14:textId="77777777" w:rsidR="002B7F86" w:rsidRDefault="002B7F86" w:rsidP="002A6908">
      <w:pPr>
        <w:rPr>
          <w:rFonts w:ascii="Arial Bold" w:hAnsi="Arial Bold"/>
          <w:b/>
          <w:sz w:val="40"/>
          <w:szCs w:val="40"/>
        </w:rPr>
      </w:pPr>
    </w:p>
    <w:p w14:paraId="6806EA47" w14:textId="77777777" w:rsidR="002A6908" w:rsidRDefault="002A6908" w:rsidP="002A6908">
      <w:pPr>
        <w:rPr>
          <w:rFonts w:ascii="Arial Bold" w:hAnsi="Arial Bold"/>
          <w:b/>
          <w:sz w:val="40"/>
          <w:szCs w:val="40"/>
        </w:rPr>
      </w:pPr>
    </w:p>
    <w:p w14:paraId="6C5684BA" w14:textId="77777777" w:rsidR="002A6908" w:rsidRDefault="002A6908" w:rsidP="002A6908">
      <w:pPr>
        <w:rPr>
          <w:rFonts w:ascii="Arial Bold" w:hAnsi="Arial Bold"/>
          <w:b/>
          <w:sz w:val="40"/>
          <w:szCs w:val="40"/>
        </w:rPr>
      </w:pPr>
    </w:p>
    <w:p w14:paraId="4E2EB2BB" w14:textId="77777777" w:rsidR="004352ED" w:rsidRPr="00F00C45" w:rsidRDefault="004352ED" w:rsidP="004352ED">
      <w:pPr>
        <w:rPr>
          <w:rFonts w:ascii="Arial" w:hAnsi="Arial" w:cs="Arial"/>
          <w:b/>
        </w:rPr>
      </w:pPr>
      <w:r w:rsidRPr="00F00C45">
        <w:rPr>
          <w:rFonts w:ascii="Arial" w:hAnsi="Arial" w:cs="Arial"/>
          <w:b/>
        </w:rPr>
        <w:t>VERSION CONTROL</w:t>
      </w:r>
    </w:p>
    <w:p w14:paraId="708B7DC8" w14:textId="77777777" w:rsidR="004352ED" w:rsidRPr="00F00C45" w:rsidRDefault="004352ED" w:rsidP="004352ED">
      <w:pPr>
        <w:rPr>
          <w:rFonts w:ascii="Arial" w:hAnsi="Arial" w:cs="Arial"/>
          <w:b/>
          <w:sz w:val="18"/>
          <w:u w:val="single"/>
        </w:rPr>
      </w:pPr>
    </w:p>
    <w:tbl>
      <w:tblPr>
        <w:tblStyle w:val="TableGrid1"/>
        <w:tblW w:w="0" w:type="auto"/>
        <w:tblLook w:val="01E0" w:firstRow="1" w:lastRow="1" w:firstColumn="1" w:lastColumn="1" w:noHBand="0" w:noVBand="0"/>
      </w:tblPr>
      <w:tblGrid>
        <w:gridCol w:w="2518"/>
        <w:gridCol w:w="2268"/>
      </w:tblGrid>
      <w:tr w:rsidR="004352ED" w:rsidRPr="00481C1A" w14:paraId="530F3BC4" w14:textId="77777777" w:rsidTr="002E7D79">
        <w:tc>
          <w:tcPr>
            <w:tcW w:w="2518" w:type="dxa"/>
          </w:tcPr>
          <w:p w14:paraId="3265574B" w14:textId="77777777" w:rsidR="004352ED" w:rsidRPr="002E7D79" w:rsidRDefault="004352ED" w:rsidP="00481C1A">
            <w:pPr>
              <w:jc w:val="center"/>
              <w:rPr>
                <w:rFonts w:ascii="Arial" w:hAnsi="Arial" w:cs="Arial"/>
                <w:b/>
              </w:rPr>
            </w:pPr>
            <w:r w:rsidRPr="002E7D79">
              <w:rPr>
                <w:rFonts w:ascii="Arial" w:hAnsi="Arial" w:cs="Arial"/>
                <w:b/>
              </w:rPr>
              <w:t>Version Number</w:t>
            </w:r>
          </w:p>
        </w:tc>
        <w:tc>
          <w:tcPr>
            <w:cnfStyle w:val="000100000000" w:firstRow="0" w:lastRow="0" w:firstColumn="0" w:lastColumn="1" w:oddVBand="0" w:evenVBand="0" w:oddHBand="0" w:evenHBand="0" w:firstRowFirstColumn="0" w:firstRowLastColumn="0" w:lastRowFirstColumn="0" w:lastRowLastColumn="0"/>
            <w:tcW w:w="2268" w:type="dxa"/>
          </w:tcPr>
          <w:p w14:paraId="74D2B8FA" w14:textId="77777777" w:rsidR="004352ED" w:rsidRPr="002E7D79" w:rsidRDefault="004352ED" w:rsidP="00481C1A">
            <w:pPr>
              <w:jc w:val="center"/>
              <w:rPr>
                <w:rFonts w:ascii="Arial" w:hAnsi="Arial" w:cs="Arial"/>
                <w:b/>
                <w:i w:val="0"/>
                <w:iCs w:val="0"/>
              </w:rPr>
            </w:pPr>
            <w:r w:rsidRPr="002E7D79">
              <w:rPr>
                <w:rFonts w:ascii="Arial" w:hAnsi="Arial" w:cs="Arial"/>
                <w:b/>
                <w:i w:val="0"/>
                <w:iCs w:val="0"/>
              </w:rPr>
              <w:t>Date Issued</w:t>
            </w:r>
          </w:p>
        </w:tc>
      </w:tr>
      <w:tr w:rsidR="004352ED" w:rsidRPr="00481C1A" w14:paraId="6218C663" w14:textId="77777777" w:rsidTr="002E7D79">
        <w:tc>
          <w:tcPr>
            <w:tcW w:w="2518" w:type="dxa"/>
          </w:tcPr>
          <w:p w14:paraId="0A74AC3E" w14:textId="77777777" w:rsidR="004352ED" w:rsidRPr="002E7D79" w:rsidRDefault="004352ED" w:rsidP="00481C1A">
            <w:pPr>
              <w:rPr>
                <w:rFonts w:ascii="Arial" w:hAnsi="Arial" w:cs="Arial"/>
              </w:rPr>
            </w:pPr>
            <w:r w:rsidRPr="002E7D79">
              <w:rPr>
                <w:rFonts w:ascii="Arial" w:hAnsi="Arial" w:cs="Arial"/>
              </w:rPr>
              <w:t xml:space="preserve">Original </w:t>
            </w:r>
          </w:p>
        </w:tc>
        <w:tc>
          <w:tcPr>
            <w:cnfStyle w:val="000100000000" w:firstRow="0" w:lastRow="0" w:firstColumn="0" w:lastColumn="1" w:oddVBand="0" w:evenVBand="0" w:oddHBand="0" w:evenHBand="0" w:firstRowFirstColumn="0" w:firstRowLastColumn="0" w:lastRowFirstColumn="0" w:lastRowLastColumn="0"/>
            <w:tcW w:w="2268" w:type="dxa"/>
          </w:tcPr>
          <w:p w14:paraId="3900786D" w14:textId="77777777" w:rsidR="004352ED" w:rsidRPr="002E7D79" w:rsidRDefault="00533A77" w:rsidP="00481C1A">
            <w:pPr>
              <w:jc w:val="center"/>
              <w:rPr>
                <w:rFonts w:ascii="Arial" w:hAnsi="Arial" w:cs="Arial"/>
                <w:i w:val="0"/>
                <w:iCs w:val="0"/>
              </w:rPr>
            </w:pPr>
            <w:r w:rsidRPr="002E7D79">
              <w:rPr>
                <w:rFonts w:ascii="Arial" w:hAnsi="Arial" w:cs="Arial"/>
                <w:i w:val="0"/>
                <w:iCs w:val="0"/>
              </w:rPr>
              <w:t>13</w:t>
            </w:r>
            <w:r w:rsidRPr="002E7D79">
              <w:rPr>
                <w:rFonts w:ascii="Arial" w:hAnsi="Arial" w:cs="Arial"/>
                <w:i w:val="0"/>
                <w:iCs w:val="0"/>
                <w:vertAlign w:val="superscript"/>
              </w:rPr>
              <w:t>th</w:t>
            </w:r>
            <w:r w:rsidRPr="002E7D79">
              <w:rPr>
                <w:rFonts w:ascii="Arial" w:hAnsi="Arial" w:cs="Arial"/>
                <w:i w:val="0"/>
                <w:iCs w:val="0"/>
              </w:rPr>
              <w:t xml:space="preserve"> February 2014</w:t>
            </w:r>
          </w:p>
        </w:tc>
      </w:tr>
      <w:tr w:rsidR="004352ED" w:rsidRPr="00481C1A" w14:paraId="0F9C3E07" w14:textId="77777777" w:rsidTr="002E7D79">
        <w:tc>
          <w:tcPr>
            <w:tcW w:w="2518" w:type="dxa"/>
          </w:tcPr>
          <w:p w14:paraId="6B7FA72B" w14:textId="77777777" w:rsidR="004352ED" w:rsidRPr="002E7D79" w:rsidRDefault="004352ED" w:rsidP="00481C1A">
            <w:pPr>
              <w:rPr>
                <w:rFonts w:ascii="Arial" w:hAnsi="Arial" w:cs="Arial"/>
              </w:rPr>
            </w:pPr>
            <w:r w:rsidRPr="002E7D79">
              <w:rPr>
                <w:rFonts w:ascii="Arial" w:hAnsi="Arial" w:cs="Arial"/>
              </w:rPr>
              <w:t>Revised V1</w:t>
            </w:r>
          </w:p>
        </w:tc>
        <w:tc>
          <w:tcPr>
            <w:cnfStyle w:val="000100000000" w:firstRow="0" w:lastRow="0" w:firstColumn="0" w:lastColumn="1" w:oddVBand="0" w:evenVBand="0" w:oddHBand="0" w:evenHBand="0" w:firstRowFirstColumn="0" w:firstRowLastColumn="0" w:lastRowFirstColumn="0" w:lastRowLastColumn="0"/>
            <w:tcW w:w="2268" w:type="dxa"/>
          </w:tcPr>
          <w:p w14:paraId="1B3D0958" w14:textId="77777777" w:rsidR="004352ED" w:rsidRPr="00481C1A" w:rsidRDefault="004352ED" w:rsidP="00481C1A">
            <w:pPr>
              <w:jc w:val="center"/>
              <w:rPr>
                <w:rFonts w:ascii="Arial" w:hAnsi="Arial" w:cs="Arial"/>
              </w:rPr>
            </w:pPr>
          </w:p>
        </w:tc>
      </w:tr>
      <w:tr w:rsidR="004352ED" w:rsidRPr="00481C1A" w14:paraId="07A3504D" w14:textId="77777777" w:rsidTr="002E7D79">
        <w:trPr>
          <w:cnfStyle w:val="010000000000" w:firstRow="0" w:lastRow="1" w:firstColumn="0" w:lastColumn="0" w:oddVBand="0" w:evenVBand="0" w:oddHBand="0" w:evenHBand="0" w:firstRowFirstColumn="0" w:firstRowLastColumn="0" w:lastRowFirstColumn="0" w:lastRowLastColumn="0"/>
        </w:trPr>
        <w:tc>
          <w:tcPr>
            <w:tcW w:w="2518" w:type="dxa"/>
          </w:tcPr>
          <w:p w14:paraId="780449D6" w14:textId="77777777" w:rsidR="004352ED" w:rsidRPr="002E7D79" w:rsidRDefault="004352ED" w:rsidP="00481C1A">
            <w:pPr>
              <w:rPr>
                <w:rFonts w:ascii="Arial" w:hAnsi="Arial" w:cs="Arial"/>
                <w:i w:val="0"/>
                <w:iCs w:val="0"/>
              </w:rPr>
            </w:pPr>
            <w:r w:rsidRPr="002E7D79">
              <w:rPr>
                <w:rFonts w:ascii="Arial" w:hAnsi="Arial" w:cs="Arial"/>
                <w:i w:val="0"/>
                <w:iCs w:val="0"/>
              </w:rPr>
              <w:t xml:space="preserve">Revised V2  </w:t>
            </w:r>
          </w:p>
        </w:tc>
        <w:tc>
          <w:tcPr>
            <w:cnfStyle w:val="000100000000" w:firstRow="0" w:lastRow="0" w:firstColumn="0" w:lastColumn="1" w:oddVBand="0" w:evenVBand="0" w:oddHBand="0" w:evenHBand="0" w:firstRowFirstColumn="0" w:firstRowLastColumn="0" w:lastRowFirstColumn="0" w:lastRowLastColumn="0"/>
            <w:tcW w:w="2268" w:type="dxa"/>
          </w:tcPr>
          <w:p w14:paraId="579198E4" w14:textId="77777777" w:rsidR="004352ED" w:rsidRPr="00481C1A" w:rsidRDefault="004352ED" w:rsidP="00481C1A">
            <w:pPr>
              <w:jc w:val="center"/>
              <w:rPr>
                <w:rFonts w:ascii="Arial" w:hAnsi="Arial" w:cs="Arial"/>
              </w:rPr>
            </w:pPr>
          </w:p>
        </w:tc>
      </w:tr>
    </w:tbl>
    <w:p w14:paraId="0047B115" w14:textId="77777777" w:rsidR="002E7D79" w:rsidRDefault="002E7D79" w:rsidP="005C3D61">
      <w:pPr>
        <w:jc w:val="center"/>
        <w:rPr>
          <w:rFonts w:ascii="Arial" w:hAnsi="Arial"/>
          <w:b/>
          <w:sz w:val="32"/>
          <w:szCs w:val="32"/>
        </w:rPr>
        <w:sectPr w:rsidR="002E7D79" w:rsidSect="00E346DE">
          <w:headerReference w:type="default" r:id="rId11"/>
          <w:footerReference w:type="even" r:id="rId12"/>
          <w:footerReference w:type="default" r:id="rId13"/>
          <w:pgSz w:w="11906" w:h="16838"/>
          <w:pgMar w:top="1209" w:right="1134" w:bottom="1134" w:left="1134" w:header="709" w:footer="615" w:gutter="0"/>
          <w:cols w:space="708"/>
          <w:docGrid w:linePitch="360"/>
        </w:sectPr>
      </w:pPr>
    </w:p>
    <w:p w14:paraId="1F4C5BE9" w14:textId="77777777" w:rsidR="004352ED" w:rsidRDefault="004352ED" w:rsidP="005C3D61">
      <w:pPr>
        <w:jc w:val="center"/>
        <w:rPr>
          <w:rFonts w:ascii="Arial" w:hAnsi="Arial"/>
          <w:b/>
          <w:sz w:val="32"/>
          <w:szCs w:val="32"/>
        </w:rPr>
      </w:pPr>
    </w:p>
    <w:p w14:paraId="4F6ECD7D" w14:textId="77777777" w:rsidR="005C3D61" w:rsidRDefault="00F04077" w:rsidP="005C3D61">
      <w:pPr>
        <w:jc w:val="center"/>
        <w:rPr>
          <w:rFonts w:ascii="Arial" w:hAnsi="Arial"/>
          <w:b/>
          <w:sz w:val="32"/>
          <w:szCs w:val="32"/>
        </w:rPr>
      </w:pPr>
      <w:r>
        <w:rPr>
          <w:rFonts w:ascii="Arial" w:hAnsi="Arial"/>
          <w:b/>
          <w:sz w:val="32"/>
          <w:szCs w:val="32"/>
        </w:rPr>
        <w:t>Relocation Policy</w:t>
      </w:r>
    </w:p>
    <w:p w14:paraId="68CE1810" w14:textId="77777777" w:rsidR="006D1E05" w:rsidRDefault="006D1E05" w:rsidP="00E22AC4">
      <w:pPr>
        <w:pStyle w:val="Numberedheading2"/>
      </w:pPr>
      <w:r>
        <w:t>Introduction</w:t>
      </w:r>
    </w:p>
    <w:p w14:paraId="0FEB2CCE" w14:textId="77777777" w:rsidR="006D1E05" w:rsidRDefault="006D1E05" w:rsidP="00913F99">
      <w:pPr>
        <w:ind w:left="720" w:hanging="720"/>
        <w:rPr>
          <w:rFonts w:ascii="Arial" w:hAnsi="Arial"/>
        </w:rPr>
      </w:pPr>
      <w:r>
        <w:rPr>
          <w:rFonts w:ascii="Arial" w:hAnsi="Arial"/>
        </w:rPr>
        <w:t>1.1</w:t>
      </w:r>
      <w:r>
        <w:rPr>
          <w:rFonts w:ascii="Arial" w:hAnsi="Arial"/>
        </w:rPr>
        <w:tab/>
        <w:t xml:space="preserve">Ashfield District Council aims to recruit the highest quality candidates to deliver its aims and objectives. </w:t>
      </w:r>
      <w:proofErr w:type="gramStart"/>
      <w:r>
        <w:rPr>
          <w:rFonts w:ascii="Arial" w:hAnsi="Arial"/>
        </w:rPr>
        <w:t>With this in mind the</w:t>
      </w:r>
      <w:proofErr w:type="gramEnd"/>
      <w:r>
        <w:rPr>
          <w:rFonts w:ascii="Arial" w:hAnsi="Arial"/>
        </w:rPr>
        <w:t xml:space="preserve"> Council undertakes to support and assist new employees if they move to the area in order to undertake employment with the organisation. </w:t>
      </w:r>
    </w:p>
    <w:p w14:paraId="6497E649" w14:textId="77777777" w:rsidR="006D1E05" w:rsidRDefault="006D1E05" w:rsidP="00E22AC4">
      <w:pPr>
        <w:pStyle w:val="Numberedheading2"/>
      </w:pPr>
      <w:r>
        <w:t>2.</w:t>
      </w:r>
      <w:r>
        <w:tab/>
        <w:t>Purpose</w:t>
      </w:r>
    </w:p>
    <w:p w14:paraId="3664C0BB" w14:textId="77777777" w:rsidR="006D1E05" w:rsidRDefault="006D1E05" w:rsidP="00913F99">
      <w:pPr>
        <w:pStyle w:val="BodyText"/>
      </w:pPr>
      <w:r>
        <w:t>2.1</w:t>
      </w:r>
      <w:r>
        <w:tab/>
        <w:t xml:space="preserve">The purpose of this policy is to outline the relocation assistance available to employees and the eligibility criteria for making a claim. </w:t>
      </w:r>
    </w:p>
    <w:p w14:paraId="5F715230" w14:textId="77777777" w:rsidR="006D1E05" w:rsidRDefault="006D1E05" w:rsidP="00E22AC4">
      <w:pPr>
        <w:pStyle w:val="Numberedheading2"/>
      </w:pPr>
      <w:r>
        <w:t>3.</w:t>
      </w:r>
      <w:r>
        <w:tab/>
      </w:r>
      <w:r w:rsidRPr="0080410C">
        <w:t>Scope</w:t>
      </w:r>
    </w:p>
    <w:p w14:paraId="35F46EE4" w14:textId="77777777" w:rsidR="00B96586" w:rsidRPr="0057391E" w:rsidRDefault="006D1E05" w:rsidP="00913F99">
      <w:pPr>
        <w:numPr>
          <w:ilvl w:val="1"/>
          <w:numId w:val="3"/>
        </w:numPr>
        <w:tabs>
          <w:tab w:val="clear" w:pos="360"/>
          <w:tab w:val="num" w:pos="720"/>
        </w:tabs>
        <w:ind w:left="720" w:hanging="720"/>
        <w:rPr>
          <w:rFonts w:ascii="Arial" w:hAnsi="Arial" w:cs="Arial"/>
        </w:rPr>
      </w:pPr>
      <w:r w:rsidRPr="0057391E">
        <w:rPr>
          <w:rFonts w:ascii="Arial" w:hAnsi="Arial" w:cs="Arial"/>
        </w:rPr>
        <w:t>This policy applies to all employe</w:t>
      </w:r>
      <w:r>
        <w:rPr>
          <w:rFonts w:ascii="Arial" w:hAnsi="Arial" w:cs="Arial"/>
        </w:rPr>
        <w:t xml:space="preserve">es of Ashfield District Council, subject to the eligibility criteria detailed in section 4.  </w:t>
      </w:r>
    </w:p>
    <w:p w14:paraId="7D4EFF29" w14:textId="77777777" w:rsidR="006D1E05" w:rsidRPr="0057391E" w:rsidRDefault="006D1E05" w:rsidP="006D1E05">
      <w:pPr>
        <w:ind w:left="720" w:hanging="720"/>
        <w:jc w:val="both"/>
        <w:rPr>
          <w:rFonts w:ascii="Arial" w:hAnsi="Arial" w:cs="Arial"/>
        </w:rPr>
      </w:pPr>
      <w:r>
        <w:rPr>
          <w:rFonts w:ascii="Arial" w:hAnsi="Arial" w:cs="Arial"/>
        </w:rPr>
        <w:tab/>
        <w:t xml:space="preserve"> </w:t>
      </w:r>
    </w:p>
    <w:p w14:paraId="5A9FBC08" w14:textId="77777777" w:rsidR="006D1E05" w:rsidRPr="003E0390" w:rsidRDefault="006D1E05" w:rsidP="00E22AC4">
      <w:pPr>
        <w:pStyle w:val="Numberedheading2"/>
      </w:pPr>
      <w:r w:rsidRPr="003E0390">
        <w:t>4.</w:t>
      </w:r>
      <w:r w:rsidRPr="003E0390">
        <w:tab/>
        <w:t>Eligibility</w:t>
      </w:r>
    </w:p>
    <w:p w14:paraId="616744D8" w14:textId="77777777" w:rsidR="006D1E05" w:rsidRDefault="006D1E05" w:rsidP="00913F99">
      <w:pPr>
        <w:ind w:left="720" w:hanging="720"/>
        <w:rPr>
          <w:rFonts w:ascii="Arial" w:hAnsi="Arial" w:cs="Arial"/>
        </w:rPr>
      </w:pPr>
      <w:r>
        <w:rPr>
          <w:rFonts w:ascii="Arial" w:hAnsi="Arial" w:cs="Arial"/>
        </w:rPr>
        <w:t>4.1</w:t>
      </w:r>
      <w:r>
        <w:rPr>
          <w:rFonts w:ascii="Arial" w:hAnsi="Arial" w:cs="Arial"/>
        </w:rPr>
        <w:tab/>
        <w:t xml:space="preserve">Assistance with relocation may be granted for any new employee who is </w:t>
      </w:r>
      <w:r w:rsidR="006223AA">
        <w:rPr>
          <w:rFonts w:ascii="Arial" w:hAnsi="Arial" w:cs="Arial"/>
        </w:rPr>
        <w:t xml:space="preserve">appointed </w:t>
      </w:r>
      <w:r>
        <w:rPr>
          <w:rFonts w:ascii="Arial" w:hAnsi="Arial" w:cs="Arial"/>
        </w:rPr>
        <w:t xml:space="preserve">to a post (regardless of the grade) within the Council and meets the following </w:t>
      </w:r>
      <w:proofErr w:type="gramStart"/>
      <w:r>
        <w:rPr>
          <w:rFonts w:ascii="Arial" w:hAnsi="Arial" w:cs="Arial"/>
        </w:rPr>
        <w:t>criteria:-</w:t>
      </w:r>
      <w:proofErr w:type="gramEnd"/>
      <w:r>
        <w:rPr>
          <w:rFonts w:ascii="Arial" w:hAnsi="Arial" w:cs="Arial"/>
        </w:rPr>
        <w:t xml:space="preserve"> </w:t>
      </w:r>
    </w:p>
    <w:p w14:paraId="51C90F39" w14:textId="77777777" w:rsidR="006D1E05" w:rsidRDefault="006D1E05" w:rsidP="00913F99">
      <w:pPr>
        <w:ind w:left="720" w:hanging="720"/>
        <w:rPr>
          <w:rFonts w:ascii="Arial" w:hAnsi="Arial" w:cs="Arial"/>
        </w:rPr>
      </w:pPr>
      <w:r>
        <w:rPr>
          <w:rFonts w:ascii="Arial" w:hAnsi="Arial" w:cs="Arial"/>
        </w:rPr>
        <w:tab/>
      </w:r>
    </w:p>
    <w:p w14:paraId="2959E81B" w14:textId="77777777" w:rsidR="006D1E05" w:rsidRDefault="006D1E05" w:rsidP="00913F99">
      <w:pPr>
        <w:numPr>
          <w:ilvl w:val="0"/>
          <w:numId w:val="2"/>
        </w:numPr>
        <w:rPr>
          <w:rFonts w:ascii="Arial" w:hAnsi="Arial" w:cs="Arial"/>
        </w:rPr>
      </w:pPr>
      <w:r>
        <w:rPr>
          <w:rFonts w:ascii="Arial" w:hAnsi="Arial" w:cs="Arial"/>
        </w:rPr>
        <w:t>The individual is a new employee to the Council employed in a permanent post, or a post that is fixed term / temporary for at least 12 months.</w:t>
      </w:r>
    </w:p>
    <w:p w14:paraId="792A2AF2" w14:textId="77777777" w:rsidR="006D1E05" w:rsidRDefault="006D1E05" w:rsidP="00913F99">
      <w:pPr>
        <w:numPr>
          <w:ilvl w:val="0"/>
          <w:numId w:val="2"/>
        </w:numPr>
        <w:rPr>
          <w:rFonts w:ascii="Arial" w:hAnsi="Arial" w:cs="Arial"/>
        </w:rPr>
      </w:pPr>
      <w:r>
        <w:rPr>
          <w:rFonts w:ascii="Arial" w:hAnsi="Arial" w:cs="Arial"/>
        </w:rPr>
        <w:t>The individual currently lives 25 miles or more radius from the</w:t>
      </w:r>
      <w:r w:rsidR="002B7F86">
        <w:rPr>
          <w:rFonts w:ascii="Arial" w:hAnsi="Arial" w:cs="Arial"/>
        </w:rPr>
        <w:t xml:space="preserve">ir primary working base at </w:t>
      </w:r>
      <w:r w:rsidR="002B7F86" w:rsidRPr="002B7F86">
        <w:rPr>
          <w:rFonts w:ascii="Arial" w:hAnsi="Arial" w:cs="Arial"/>
        </w:rPr>
        <w:t>Ashfield District Council</w:t>
      </w:r>
      <w:r>
        <w:rPr>
          <w:rFonts w:ascii="Arial" w:hAnsi="Arial" w:cs="Arial"/>
        </w:rPr>
        <w:t>.</w:t>
      </w:r>
    </w:p>
    <w:p w14:paraId="61BE8FA1" w14:textId="77777777" w:rsidR="002B7F86" w:rsidRDefault="006D1E05" w:rsidP="00913F99">
      <w:pPr>
        <w:numPr>
          <w:ilvl w:val="0"/>
          <w:numId w:val="2"/>
        </w:numPr>
        <w:rPr>
          <w:rFonts w:ascii="Arial" w:hAnsi="Arial" w:cs="Arial"/>
        </w:rPr>
      </w:pPr>
      <w:r>
        <w:rPr>
          <w:rFonts w:ascii="Arial" w:hAnsi="Arial" w:cs="Arial"/>
        </w:rPr>
        <w:t xml:space="preserve">The employee moves, or </w:t>
      </w:r>
      <w:r w:rsidR="002B2BAD">
        <w:rPr>
          <w:rFonts w:ascii="Arial" w:hAnsi="Arial" w:cs="Arial"/>
        </w:rPr>
        <w:t xml:space="preserve">accesses temporary </w:t>
      </w:r>
      <w:r w:rsidR="00277C16">
        <w:rPr>
          <w:rFonts w:ascii="Arial" w:hAnsi="Arial" w:cs="Arial"/>
        </w:rPr>
        <w:t>accommodation</w:t>
      </w:r>
      <w:r w:rsidR="002B7F86">
        <w:rPr>
          <w:rFonts w:ascii="Arial" w:hAnsi="Arial" w:cs="Arial"/>
        </w:rPr>
        <w:t xml:space="preserve">, within a </w:t>
      </w:r>
      <w:proofErr w:type="gramStart"/>
      <w:r w:rsidR="002B7F86">
        <w:rPr>
          <w:rFonts w:ascii="Arial" w:hAnsi="Arial" w:cs="Arial"/>
        </w:rPr>
        <w:t>15 mile</w:t>
      </w:r>
      <w:proofErr w:type="gramEnd"/>
      <w:r w:rsidR="002B7F86">
        <w:rPr>
          <w:rFonts w:ascii="Arial" w:hAnsi="Arial" w:cs="Arial"/>
        </w:rPr>
        <w:t xml:space="preserve"> radius of their primary working base at </w:t>
      </w:r>
      <w:r w:rsidR="002B7F86" w:rsidRPr="002B7F86">
        <w:rPr>
          <w:rFonts w:ascii="Arial" w:hAnsi="Arial" w:cs="Arial"/>
        </w:rPr>
        <w:t>Ashfield District Council</w:t>
      </w:r>
      <w:r w:rsidR="002B7F86">
        <w:rPr>
          <w:rFonts w:ascii="Arial" w:hAnsi="Arial" w:cs="Arial"/>
        </w:rPr>
        <w:t>.</w:t>
      </w:r>
    </w:p>
    <w:p w14:paraId="18C64849" w14:textId="77777777" w:rsidR="004F44DD" w:rsidRPr="00EE06C3" w:rsidRDefault="006D1E05" w:rsidP="00E22AC4">
      <w:pPr>
        <w:pStyle w:val="Numberedheading2"/>
      </w:pPr>
      <w:r w:rsidRPr="00EE06C3">
        <w:t>5.</w:t>
      </w:r>
      <w:r w:rsidRPr="00EE06C3">
        <w:tab/>
        <w:t xml:space="preserve">Notifying of intention to claim </w:t>
      </w:r>
    </w:p>
    <w:p w14:paraId="07F95776" w14:textId="77777777" w:rsidR="00B96586" w:rsidRDefault="00EE06C3" w:rsidP="00913F99">
      <w:pPr>
        <w:tabs>
          <w:tab w:val="left" w:pos="720"/>
          <w:tab w:val="center" w:pos="1296"/>
          <w:tab w:val="left" w:pos="3744"/>
        </w:tabs>
        <w:ind w:left="720" w:hanging="720"/>
        <w:rPr>
          <w:rFonts w:ascii="Arial" w:hAnsi="Arial" w:cs="Arial"/>
        </w:rPr>
      </w:pPr>
      <w:r>
        <w:rPr>
          <w:rFonts w:ascii="Arial" w:hAnsi="Arial" w:cs="Arial"/>
        </w:rPr>
        <w:t>5.1</w:t>
      </w:r>
      <w:r>
        <w:rPr>
          <w:rFonts w:ascii="Arial" w:hAnsi="Arial" w:cs="Arial"/>
        </w:rPr>
        <w:tab/>
        <w:t xml:space="preserve">The employee should notify the Council of their intention to claim under this policy within one month of </w:t>
      </w:r>
      <w:r w:rsidR="002B2BAD">
        <w:rPr>
          <w:rFonts w:ascii="Arial" w:hAnsi="Arial" w:cs="Arial"/>
        </w:rPr>
        <w:t xml:space="preserve">the </w:t>
      </w:r>
      <w:r>
        <w:rPr>
          <w:rFonts w:ascii="Arial" w:hAnsi="Arial" w:cs="Arial"/>
        </w:rPr>
        <w:t>commencement of employment. Notification should be forwarded</w:t>
      </w:r>
      <w:r w:rsidR="002B7F86">
        <w:rPr>
          <w:rFonts w:ascii="Arial" w:hAnsi="Arial" w:cs="Arial"/>
        </w:rPr>
        <w:t xml:space="preserve"> in writing to the HR </w:t>
      </w:r>
      <w:r>
        <w:rPr>
          <w:rFonts w:ascii="Arial" w:hAnsi="Arial" w:cs="Arial"/>
        </w:rPr>
        <w:t>Manager</w:t>
      </w:r>
      <w:r w:rsidR="00661ECD">
        <w:rPr>
          <w:rFonts w:ascii="Arial" w:hAnsi="Arial" w:cs="Arial"/>
        </w:rPr>
        <w:t xml:space="preserve"> (please see appendix 1)</w:t>
      </w:r>
      <w:r w:rsidR="00B96586">
        <w:rPr>
          <w:rFonts w:ascii="Arial" w:hAnsi="Arial" w:cs="Arial"/>
        </w:rPr>
        <w:t>.</w:t>
      </w:r>
      <w:r w:rsidR="002B2BAD">
        <w:rPr>
          <w:rFonts w:ascii="Arial" w:hAnsi="Arial" w:cs="Arial"/>
        </w:rPr>
        <w:t xml:space="preserve"> </w:t>
      </w:r>
    </w:p>
    <w:p w14:paraId="039D06A3" w14:textId="77777777" w:rsidR="002B7F86" w:rsidRDefault="002B7F86" w:rsidP="00913F99">
      <w:pPr>
        <w:tabs>
          <w:tab w:val="left" w:pos="720"/>
          <w:tab w:val="center" w:pos="1296"/>
          <w:tab w:val="left" w:pos="3744"/>
        </w:tabs>
        <w:ind w:left="720" w:hanging="720"/>
        <w:rPr>
          <w:rFonts w:ascii="Arial" w:hAnsi="Arial" w:cs="Arial"/>
        </w:rPr>
      </w:pPr>
    </w:p>
    <w:p w14:paraId="3A145A9B" w14:textId="77777777" w:rsidR="00B96586" w:rsidRDefault="00B96586" w:rsidP="00913F99">
      <w:pPr>
        <w:tabs>
          <w:tab w:val="left" w:pos="720"/>
          <w:tab w:val="center" w:pos="1296"/>
          <w:tab w:val="left" w:pos="3744"/>
        </w:tabs>
        <w:ind w:left="720" w:hanging="720"/>
        <w:rPr>
          <w:rFonts w:ascii="Arial" w:hAnsi="Arial" w:cs="Arial"/>
        </w:rPr>
      </w:pPr>
      <w:r>
        <w:rPr>
          <w:rFonts w:ascii="Arial" w:hAnsi="Arial" w:cs="Arial"/>
        </w:rPr>
        <w:t>5.2</w:t>
      </w:r>
      <w:r>
        <w:rPr>
          <w:rFonts w:ascii="Arial" w:hAnsi="Arial" w:cs="Arial"/>
        </w:rPr>
        <w:tab/>
        <w:t xml:space="preserve">The employee will be required to sign a copy of the legal agreement </w:t>
      </w:r>
      <w:r w:rsidR="002B7F86">
        <w:rPr>
          <w:rFonts w:ascii="Arial" w:hAnsi="Arial" w:cs="Arial"/>
        </w:rPr>
        <w:t xml:space="preserve">once eligibility has been confirmed </w:t>
      </w:r>
      <w:r>
        <w:rPr>
          <w:rFonts w:ascii="Arial" w:hAnsi="Arial" w:cs="Arial"/>
        </w:rPr>
        <w:t>which sets out the amounts that can be claimed.  The legal agreement must be signed and returned to H</w:t>
      </w:r>
      <w:r w:rsidR="001912E9">
        <w:rPr>
          <w:rFonts w:ascii="Arial" w:hAnsi="Arial" w:cs="Arial"/>
        </w:rPr>
        <w:t>R</w:t>
      </w:r>
      <w:r>
        <w:rPr>
          <w:rFonts w:ascii="Arial" w:hAnsi="Arial" w:cs="Arial"/>
        </w:rPr>
        <w:t xml:space="preserve"> before any claims are submitted. </w:t>
      </w:r>
    </w:p>
    <w:p w14:paraId="16A9C777" w14:textId="77777777" w:rsidR="00B96586" w:rsidRPr="00B96586" w:rsidRDefault="00B96586" w:rsidP="00E22AC4">
      <w:pPr>
        <w:pStyle w:val="Numberedheading2"/>
      </w:pPr>
      <w:r w:rsidRPr="00B96586">
        <w:t>6.</w:t>
      </w:r>
      <w:r w:rsidRPr="00B96586">
        <w:tab/>
        <w:t>Conditions of the Scheme</w:t>
      </w:r>
    </w:p>
    <w:p w14:paraId="1B1787E0" w14:textId="77777777" w:rsidR="00B96586" w:rsidRPr="001D5FCA" w:rsidRDefault="00B96586" w:rsidP="00913F99">
      <w:pPr>
        <w:tabs>
          <w:tab w:val="left" w:pos="720"/>
          <w:tab w:val="center" w:pos="1296"/>
          <w:tab w:val="left" w:pos="3744"/>
        </w:tabs>
        <w:ind w:left="720" w:hanging="720"/>
        <w:rPr>
          <w:rFonts w:ascii="Arial" w:hAnsi="Arial" w:cs="Arial"/>
        </w:rPr>
      </w:pPr>
      <w:r>
        <w:rPr>
          <w:rFonts w:ascii="Arial" w:hAnsi="Arial" w:cs="Arial"/>
        </w:rPr>
        <w:t>6.1</w:t>
      </w:r>
      <w:r>
        <w:rPr>
          <w:rFonts w:ascii="Arial" w:hAnsi="Arial" w:cs="Arial"/>
        </w:rPr>
        <w:tab/>
      </w:r>
      <w:r w:rsidRPr="001D5FCA">
        <w:rPr>
          <w:rFonts w:ascii="Arial" w:hAnsi="Arial" w:cs="Arial"/>
        </w:rPr>
        <w:t xml:space="preserve">The scheme is applicable to appointees from Great Britain, </w:t>
      </w:r>
      <w:proofErr w:type="gramStart"/>
      <w:r w:rsidRPr="001D5FCA">
        <w:rPr>
          <w:rFonts w:ascii="Arial" w:hAnsi="Arial" w:cs="Arial"/>
        </w:rPr>
        <w:t>Ireland</w:t>
      </w:r>
      <w:proofErr w:type="gramEnd"/>
      <w:r w:rsidRPr="001D5FCA">
        <w:rPr>
          <w:rFonts w:ascii="Arial" w:hAnsi="Arial" w:cs="Arial"/>
        </w:rPr>
        <w:t xml:space="preserve"> and the European Union.  Financial assistance outside this area will be </w:t>
      </w:r>
      <w:r>
        <w:rPr>
          <w:rFonts w:ascii="Arial" w:hAnsi="Arial" w:cs="Arial"/>
        </w:rPr>
        <w:t>at the discretion of the Chief Executive</w:t>
      </w:r>
      <w:r w:rsidRPr="001D5FCA">
        <w:rPr>
          <w:rFonts w:ascii="Arial" w:hAnsi="Arial" w:cs="Arial"/>
        </w:rPr>
        <w:t>.</w:t>
      </w:r>
    </w:p>
    <w:p w14:paraId="70C458FD" w14:textId="77777777" w:rsidR="006D1E05" w:rsidRDefault="006D1E05" w:rsidP="00913F99">
      <w:pPr>
        <w:tabs>
          <w:tab w:val="left" w:pos="720"/>
          <w:tab w:val="center" w:pos="1296"/>
          <w:tab w:val="left" w:pos="3744"/>
        </w:tabs>
        <w:rPr>
          <w:rFonts w:ascii="Arial" w:hAnsi="Arial" w:cs="Arial"/>
        </w:rPr>
      </w:pPr>
    </w:p>
    <w:p w14:paraId="3796E017" w14:textId="77777777" w:rsidR="007433C7" w:rsidRPr="001D5FCA" w:rsidRDefault="007433C7" w:rsidP="00913F99">
      <w:pPr>
        <w:tabs>
          <w:tab w:val="left" w:pos="720"/>
          <w:tab w:val="left" w:pos="1728"/>
          <w:tab w:val="left" w:pos="2592"/>
          <w:tab w:val="left" w:pos="4464"/>
          <w:tab w:val="left" w:pos="5328"/>
        </w:tabs>
        <w:ind w:left="720" w:hanging="720"/>
        <w:rPr>
          <w:rFonts w:ascii="Arial" w:hAnsi="Arial" w:cs="Arial"/>
        </w:rPr>
      </w:pPr>
      <w:r>
        <w:rPr>
          <w:rFonts w:ascii="Arial" w:hAnsi="Arial" w:cs="Arial"/>
        </w:rPr>
        <w:t>6.2</w:t>
      </w:r>
      <w:r>
        <w:rPr>
          <w:rFonts w:ascii="Arial" w:hAnsi="Arial" w:cs="Arial"/>
        </w:rPr>
        <w:tab/>
      </w:r>
      <w:r w:rsidRPr="001D5FCA">
        <w:rPr>
          <w:rFonts w:ascii="Arial" w:hAnsi="Arial" w:cs="Arial"/>
        </w:rPr>
        <w:t xml:space="preserve">The maximum amount payable will be </w:t>
      </w:r>
      <w:r w:rsidR="00661ECD">
        <w:rPr>
          <w:rFonts w:ascii="Arial" w:hAnsi="Arial" w:cs="Arial"/>
        </w:rPr>
        <w:t>£5,000 as detailed in appendix 2.</w:t>
      </w:r>
      <w:r w:rsidRPr="001D5FCA">
        <w:rPr>
          <w:rFonts w:ascii="Arial" w:hAnsi="Arial" w:cs="Arial"/>
        </w:rPr>
        <w:t xml:space="preserve">  The maximum payable under each category is subject to the maximum </w:t>
      </w:r>
      <w:r w:rsidR="002B2BAD">
        <w:rPr>
          <w:rFonts w:ascii="Arial" w:hAnsi="Arial" w:cs="Arial"/>
        </w:rPr>
        <w:t xml:space="preserve">overall </w:t>
      </w:r>
      <w:r w:rsidRPr="001D5FCA">
        <w:rPr>
          <w:rFonts w:ascii="Arial" w:hAnsi="Arial" w:cs="Arial"/>
        </w:rPr>
        <w:t xml:space="preserve">under the </w:t>
      </w:r>
      <w:r w:rsidRPr="001D5FCA">
        <w:rPr>
          <w:rFonts w:ascii="Arial" w:hAnsi="Arial" w:cs="Arial"/>
        </w:rPr>
        <w:lastRenderedPageBreak/>
        <w:t>scheme not being exceeded.</w:t>
      </w:r>
      <w:r w:rsidR="002B2BAD">
        <w:rPr>
          <w:rFonts w:ascii="Arial" w:hAnsi="Arial" w:cs="Arial"/>
        </w:rPr>
        <w:t xml:space="preserve"> Please refer to the legal agreement for more information.</w:t>
      </w:r>
    </w:p>
    <w:p w14:paraId="321FA7B3" w14:textId="77777777" w:rsidR="007433C7" w:rsidRDefault="007433C7" w:rsidP="00913F99">
      <w:pPr>
        <w:tabs>
          <w:tab w:val="left" w:pos="720"/>
          <w:tab w:val="center" w:pos="1296"/>
          <w:tab w:val="left" w:pos="3744"/>
        </w:tabs>
        <w:ind w:left="720" w:hanging="720"/>
        <w:rPr>
          <w:rFonts w:ascii="Arial" w:hAnsi="Arial" w:cs="Arial"/>
        </w:rPr>
      </w:pPr>
    </w:p>
    <w:p w14:paraId="03715399" w14:textId="77777777" w:rsidR="007433C7" w:rsidRDefault="007433C7" w:rsidP="00913F99">
      <w:pPr>
        <w:tabs>
          <w:tab w:val="left" w:pos="720"/>
          <w:tab w:val="center" w:pos="1296"/>
          <w:tab w:val="left" w:pos="3744"/>
        </w:tabs>
        <w:ind w:left="720" w:hanging="720"/>
        <w:rPr>
          <w:rFonts w:ascii="Arial" w:hAnsi="Arial" w:cs="Arial"/>
        </w:rPr>
      </w:pPr>
      <w:r>
        <w:rPr>
          <w:rFonts w:ascii="Arial" w:hAnsi="Arial" w:cs="Arial"/>
        </w:rPr>
        <w:t>6.3</w:t>
      </w:r>
      <w:r>
        <w:rPr>
          <w:rFonts w:ascii="Arial" w:hAnsi="Arial" w:cs="Arial"/>
        </w:rPr>
        <w:tab/>
        <w:t xml:space="preserve">The maximum amount payable </w:t>
      </w:r>
      <w:r w:rsidR="002B2BAD">
        <w:rPr>
          <w:rFonts w:ascii="Arial" w:hAnsi="Arial" w:cs="Arial"/>
        </w:rPr>
        <w:t xml:space="preserve">to an employee </w:t>
      </w:r>
      <w:r>
        <w:rPr>
          <w:rFonts w:ascii="Arial" w:hAnsi="Arial" w:cs="Arial"/>
        </w:rPr>
        <w:t xml:space="preserve">will be fixed at the maximum payable at the date of commencement of </w:t>
      </w:r>
      <w:r w:rsidR="002B2BAD">
        <w:rPr>
          <w:rFonts w:ascii="Arial" w:hAnsi="Arial" w:cs="Arial"/>
        </w:rPr>
        <w:t xml:space="preserve">their </w:t>
      </w:r>
      <w:r>
        <w:rPr>
          <w:rFonts w:ascii="Arial" w:hAnsi="Arial" w:cs="Arial"/>
        </w:rPr>
        <w:t xml:space="preserve">employment. </w:t>
      </w:r>
      <w:r>
        <w:rPr>
          <w:rFonts w:ascii="Arial" w:hAnsi="Arial" w:cs="Arial"/>
        </w:rPr>
        <w:tab/>
      </w:r>
    </w:p>
    <w:p w14:paraId="2DA0D8B1" w14:textId="77777777" w:rsidR="007433C7" w:rsidRDefault="007433C7" w:rsidP="00913F99">
      <w:pPr>
        <w:tabs>
          <w:tab w:val="left" w:pos="720"/>
          <w:tab w:val="center" w:pos="1296"/>
          <w:tab w:val="left" w:pos="3744"/>
        </w:tabs>
        <w:ind w:left="720" w:hanging="720"/>
        <w:rPr>
          <w:rFonts w:ascii="Arial" w:hAnsi="Arial" w:cs="Arial"/>
        </w:rPr>
      </w:pPr>
    </w:p>
    <w:p w14:paraId="0EA5DC6A" w14:textId="77777777" w:rsidR="009F0468" w:rsidRDefault="007433C7" w:rsidP="00913F99">
      <w:pPr>
        <w:tabs>
          <w:tab w:val="left" w:pos="720"/>
          <w:tab w:val="center" w:pos="1296"/>
          <w:tab w:val="left" w:pos="3744"/>
        </w:tabs>
        <w:ind w:left="720" w:hanging="720"/>
        <w:rPr>
          <w:rFonts w:ascii="Arial" w:hAnsi="Arial" w:cs="Arial"/>
        </w:rPr>
      </w:pPr>
      <w:r>
        <w:rPr>
          <w:rFonts w:ascii="Arial" w:hAnsi="Arial" w:cs="Arial"/>
        </w:rPr>
        <w:t>6.4</w:t>
      </w:r>
      <w:r>
        <w:rPr>
          <w:rFonts w:ascii="Arial" w:hAnsi="Arial" w:cs="Arial"/>
        </w:rPr>
        <w:tab/>
        <w:t>A</w:t>
      </w:r>
      <w:r w:rsidR="00B96586" w:rsidRPr="001D5FCA">
        <w:rPr>
          <w:rFonts w:ascii="Arial" w:hAnsi="Arial" w:cs="Arial"/>
        </w:rPr>
        <w:t xml:space="preserve">ll claims must be submitted by the end of the tax year following the year in which </w:t>
      </w:r>
      <w:r w:rsidR="00FF5BC9">
        <w:rPr>
          <w:rFonts w:ascii="Arial" w:hAnsi="Arial" w:cs="Arial"/>
        </w:rPr>
        <w:t>the move</w:t>
      </w:r>
      <w:r w:rsidR="00B96586">
        <w:rPr>
          <w:rFonts w:ascii="Arial" w:hAnsi="Arial" w:cs="Arial"/>
        </w:rPr>
        <w:t xml:space="preserve"> takes place</w:t>
      </w:r>
      <w:r w:rsidR="002B2BAD">
        <w:rPr>
          <w:rFonts w:ascii="Arial" w:hAnsi="Arial" w:cs="Arial"/>
        </w:rPr>
        <w:t>. Otherwise</w:t>
      </w:r>
      <w:r w:rsidR="00555756">
        <w:rPr>
          <w:rFonts w:ascii="Arial" w:hAnsi="Arial" w:cs="Arial"/>
        </w:rPr>
        <w:t>,</w:t>
      </w:r>
      <w:r w:rsidR="00B96586" w:rsidRPr="001D5FCA">
        <w:rPr>
          <w:rFonts w:ascii="Arial" w:hAnsi="Arial" w:cs="Arial"/>
        </w:rPr>
        <w:t xml:space="preserve"> any benefits may be subject to tax</w:t>
      </w:r>
      <w:r w:rsidR="00555756">
        <w:rPr>
          <w:rFonts w:ascii="Arial" w:hAnsi="Arial" w:cs="Arial"/>
        </w:rPr>
        <w:t xml:space="preserve"> at the discretion of Revenues and Customs</w:t>
      </w:r>
      <w:r w:rsidR="00B96586" w:rsidRPr="001D5FCA">
        <w:rPr>
          <w:rFonts w:ascii="Arial" w:hAnsi="Arial" w:cs="Arial"/>
        </w:rPr>
        <w:t>.</w:t>
      </w:r>
      <w:r w:rsidR="00FF5BC9">
        <w:rPr>
          <w:rFonts w:ascii="Arial" w:hAnsi="Arial" w:cs="Arial"/>
        </w:rPr>
        <w:t xml:space="preserve"> </w:t>
      </w:r>
      <w:r w:rsidR="00555756">
        <w:rPr>
          <w:rFonts w:ascii="Arial" w:hAnsi="Arial" w:cs="Arial"/>
        </w:rPr>
        <w:t>For more information on tax and accommodation allowances please refer to section 10.3.</w:t>
      </w:r>
    </w:p>
    <w:p w14:paraId="0C058762" w14:textId="77777777" w:rsidR="00555756" w:rsidRDefault="00555756" w:rsidP="00913F99">
      <w:pPr>
        <w:tabs>
          <w:tab w:val="left" w:pos="720"/>
          <w:tab w:val="center" w:pos="1296"/>
          <w:tab w:val="left" w:pos="3744"/>
        </w:tabs>
        <w:ind w:left="720" w:hanging="720"/>
        <w:rPr>
          <w:rFonts w:ascii="Arial" w:hAnsi="Arial" w:cs="Arial"/>
        </w:rPr>
      </w:pPr>
    </w:p>
    <w:p w14:paraId="4B2768E8" w14:textId="77777777" w:rsidR="009F0468" w:rsidRDefault="009F0468" w:rsidP="00913F99">
      <w:pPr>
        <w:tabs>
          <w:tab w:val="left" w:pos="720"/>
          <w:tab w:val="center" w:pos="1296"/>
          <w:tab w:val="left" w:pos="3744"/>
        </w:tabs>
        <w:ind w:left="720" w:hanging="720"/>
        <w:rPr>
          <w:rFonts w:ascii="Arial" w:hAnsi="Arial" w:cs="Arial"/>
        </w:rPr>
      </w:pPr>
      <w:r w:rsidRPr="002B7F86">
        <w:rPr>
          <w:rFonts w:ascii="Arial" w:hAnsi="Arial" w:cs="Arial"/>
        </w:rPr>
        <w:t>6.5</w:t>
      </w:r>
      <w:r>
        <w:rPr>
          <w:rFonts w:ascii="Arial" w:hAnsi="Arial" w:cs="Arial"/>
        </w:rPr>
        <w:tab/>
        <w:t xml:space="preserve">The allowances available under this policy are not payable to an employee whose spouse, partner or other person normally residing with them is receiving, or has received, relocation assistance from the Council in respect of the move. </w:t>
      </w:r>
    </w:p>
    <w:p w14:paraId="4000341F" w14:textId="77777777" w:rsidR="00FF5BC9" w:rsidRPr="00FF5BC9" w:rsidRDefault="007433C7" w:rsidP="00E22AC4">
      <w:pPr>
        <w:pStyle w:val="Numberedheading2"/>
      </w:pPr>
      <w:r>
        <w:t>7</w:t>
      </w:r>
      <w:r w:rsidR="00FF5BC9">
        <w:t>.</w:t>
      </w:r>
      <w:r w:rsidR="00FF5BC9">
        <w:tab/>
      </w:r>
      <w:r>
        <w:t>Repayment</w:t>
      </w:r>
      <w:r w:rsidR="00FF5BC9" w:rsidRPr="00FF5BC9">
        <w:t xml:space="preserve"> of allowances</w:t>
      </w:r>
    </w:p>
    <w:p w14:paraId="3BF52C91" w14:textId="77777777" w:rsidR="00FF5BC9" w:rsidRPr="001D5FCA" w:rsidRDefault="00FF5BC9" w:rsidP="00913F99">
      <w:pPr>
        <w:tabs>
          <w:tab w:val="left" w:pos="720"/>
          <w:tab w:val="center" w:pos="1296"/>
          <w:tab w:val="left" w:pos="3744"/>
        </w:tabs>
        <w:ind w:left="720" w:hanging="720"/>
        <w:rPr>
          <w:rFonts w:ascii="Arial" w:hAnsi="Arial" w:cs="Arial"/>
        </w:rPr>
      </w:pPr>
      <w:r>
        <w:rPr>
          <w:rFonts w:ascii="Arial" w:hAnsi="Arial" w:cs="Arial"/>
        </w:rPr>
        <w:t>7.1</w:t>
      </w:r>
      <w:r>
        <w:rPr>
          <w:rFonts w:ascii="Arial" w:hAnsi="Arial" w:cs="Arial"/>
        </w:rPr>
        <w:tab/>
        <w:t>Where an e</w:t>
      </w:r>
      <w:r w:rsidRPr="001D5FCA">
        <w:rPr>
          <w:rFonts w:ascii="Arial" w:hAnsi="Arial" w:cs="Arial"/>
        </w:rPr>
        <w:t>mployee leave</w:t>
      </w:r>
      <w:r>
        <w:rPr>
          <w:rFonts w:ascii="Arial" w:hAnsi="Arial" w:cs="Arial"/>
        </w:rPr>
        <w:t>s</w:t>
      </w:r>
      <w:r w:rsidRPr="001D5FCA">
        <w:rPr>
          <w:rFonts w:ascii="Arial" w:hAnsi="Arial" w:cs="Arial"/>
        </w:rPr>
        <w:t xml:space="preserve"> </w:t>
      </w:r>
      <w:r>
        <w:rPr>
          <w:rFonts w:ascii="Arial" w:hAnsi="Arial" w:cs="Arial"/>
        </w:rPr>
        <w:t>their employment with the Council</w:t>
      </w:r>
      <w:r w:rsidRPr="001D5FCA">
        <w:rPr>
          <w:rFonts w:ascii="Arial" w:hAnsi="Arial" w:cs="Arial"/>
        </w:rPr>
        <w:t>, move</w:t>
      </w:r>
      <w:r>
        <w:rPr>
          <w:rFonts w:ascii="Arial" w:hAnsi="Arial" w:cs="Arial"/>
        </w:rPr>
        <w:t>s</w:t>
      </w:r>
      <w:r w:rsidRPr="001D5FCA">
        <w:rPr>
          <w:rFonts w:ascii="Arial" w:hAnsi="Arial" w:cs="Arial"/>
        </w:rPr>
        <w:t xml:space="preserve"> outside </w:t>
      </w:r>
      <w:r>
        <w:rPr>
          <w:rFonts w:ascii="Arial" w:hAnsi="Arial" w:cs="Arial"/>
        </w:rPr>
        <w:t>a</w:t>
      </w:r>
      <w:r w:rsidRPr="001D5FCA">
        <w:rPr>
          <w:rFonts w:ascii="Arial" w:hAnsi="Arial" w:cs="Arial"/>
        </w:rPr>
        <w:t xml:space="preserve"> 15-mile radius or </w:t>
      </w:r>
      <w:r>
        <w:rPr>
          <w:rFonts w:ascii="Arial" w:hAnsi="Arial" w:cs="Arial"/>
        </w:rPr>
        <w:t xml:space="preserve">is </w:t>
      </w:r>
      <w:proofErr w:type="gramStart"/>
      <w:r>
        <w:rPr>
          <w:rFonts w:ascii="Arial" w:hAnsi="Arial" w:cs="Arial"/>
        </w:rPr>
        <w:t>dismissed:-</w:t>
      </w:r>
      <w:proofErr w:type="gramEnd"/>
    </w:p>
    <w:p w14:paraId="47BB84FA" w14:textId="77777777" w:rsidR="007433C7" w:rsidRDefault="007433C7" w:rsidP="00913F99">
      <w:pPr>
        <w:tabs>
          <w:tab w:val="left" w:pos="720"/>
          <w:tab w:val="left" w:pos="1728"/>
          <w:tab w:val="left" w:pos="2592"/>
          <w:tab w:val="left" w:pos="4464"/>
          <w:tab w:val="left" w:pos="5328"/>
        </w:tabs>
        <w:rPr>
          <w:rFonts w:ascii="Arial" w:hAnsi="Arial" w:cs="Arial"/>
        </w:rPr>
      </w:pPr>
    </w:p>
    <w:p w14:paraId="7FE93D8A" w14:textId="77777777" w:rsidR="00FF5BC9" w:rsidRPr="001D5FCA" w:rsidRDefault="00FF5BC9" w:rsidP="00913F99">
      <w:pPr>
        <w:numPr>
          <w:ilvl w:val="0"/>
          <w:numId w:val="4"/>
        </w:numPr>
        <w:tabs>
          <w:tab w:val="left" w:pos="720"/>
          <w:tab w:val="left" w:pos="1728"/>
          <w:tab w:val="left" w:pos="2592"/>
          <w:tab w:val="left" w:pos="4464"/>
          <w:tab w:val="left" w:pos="5328"/>
        </w:tabs>
        <w:rPr>
          <w:rFonts w:ascii="Arial" w:hAnsi="Arial" w:cs="Arial"/>
        </w:rPr>
      </w:pPr>
      <w:r w:rsidRPr="001D5FCA">
        <w:rPr>
          <w:rFonts w:ascii="Arial" w:hAnsi="Arial" w:cs="Arial"/>
        </w:rPr>
        <w:t xml:space="preserve">within twelve months of the initial payment full reimbursement of the allowances paid under this scheme will be demanded under the legal agreement signed by both </w:t>
      </w:r>
      <w:proofErr w:type="gramStart"/>
      <w:r w:rsidRPr="001D5FCA">
        <w:rPr>
          <w:rFonts w:ascii="Arial" w:hAnsi="Arial" w:cs="Arial"/>
        </w:rPr>
        <w:t>parties;</w:t>
      </w:r>
      <w:proofErr w:type="gramEnd"/>
    </w:p>
    <w:p w14:paraId="31EAC55B" w14:textId="77777777" w:rsidR="00FF5BC9" w:rsidRPr="001D5FCA" w:rsidRDefault="00FF5BC9" w:rsidP="00913F99">
      <w:pPr>
        <w:numPr>
          <w:ilvl w:val="0"/>
          <w:numId w:val="4"/>
        </w:numPr>
        <w:tabs>
          <w:tab w:val="left" w:pos="720"/>
          <w:tab w:val="left" w:pos="1728"/>
          <w:tab w:val="left" w:pos="2592"/>
          <w:tab w:val="left" w:pos="4464"/>
          <w:tab w:val="left" w:pos="5328"/>
        </w:tabs>
        <w:rPr>
          <w:rFonts w:ascii="Arial" w:hAnsi="Arial" w:cs="Arial"/>
        </w:rPr>
      </w:pPr>
      <w:r w:rsidRPr="001D5FCA">
        <w:rPr>
          <w:rFonts w:ascii="Arial" w:hAnsi="Arial" w:cs="Arial"/>
        </w:rPr>
        <w:t xml:space="preserve">after twelve months but less than two years service from the initial payment, a deduction will be made from the employee's final pay, as per the legal agreement, equal to 1/24th of the total allowance paid for each complete month not served, up to the </w:t>
      </w:r>
      <w:proofErr w:type="gramStart"/>
      <w:r w:rsidRPr="001D5FCA">
        <w:rPr>
          <w:rFonts w:ascii="Arial" w:hAnsi="Arial" w:cs="Arial"/>
        </w:rPr>
        <w:t>two year</w:t>
      </w:r>
      <w:proofErr w:type="gramEnd"/>
      <w:r w:rsidRPr="001D5FCA">
        <w:rPr>
          <w:rFonts w:ascii="Arial" w:hAnsi="Arial" w:cs="Arial"/>
        </w:rPr>
        <w:t xml:space="preserve"> period.</w:t>
      </w:r>
    </w:p>
    <w:p w14:paraId="5D5BB782" w14:textId="77777777" w:rsidR="00497D01" w:rsidRPr="001D5FCA" w:rsidRDefault="00497D01" w:rsidP="00E22AC4">
      <w:pPr>
        <w:pStyle w:val="Numberedheading2"/>
      </w:pPr>
      <w:r>
        <w:t>8.</w:t>
      </w:r>
      <w:r>
        <w:tab/>
        <w:t xml:space="preserve">Removal Expenses </w:t>
      </w:r>
    </w:p>
    <w:p w14:paraId="229BD982" w14:textId="77777777" w:rsidR="00497D01" w:rsidRPr="001D5FCA" w:rsidRDefault="00497D01" w:rsidP="00497D01">
      <w:pPr>
        <w:tabs>
          <w:tab w:val="left" w:pos="720"/>
          <w:tab w:val="left" w:pos="1728"/>
          <w:tab w:val="left" w:pos="2592"/>
          <w:tab w:val="left" w:pos="4464"/>
          <w:tab w:val="left" w:pos="5328"/>
        </w:tabs>
        <w:jc w:val="both"/>
        <w:rPr>
          <w:rFonts w:ascii="Arial" w:hAnsi="Arial" w:cs="Arial"/>
        </w:rPr>
      </w:pPr>
    </w:p>
    <w:p w14:paraId="4FF41D8D" w14:textId="77777777" w:rsidR="00497D01" w:rsidRPr="001D5FCA" w:rsidRDefault="00497D01" w:rsidP="00913F99">
      <w:pPr>
        <w:tabs>
          <w:tab w:val="left" w:pos="720"/>
          <w:tab w:val="left" w:pos="1728"/>
          <w:tab w:val="left" w:pos="2592"/>
          <w:tab w:val="left" w:pos="4464"/>
          <w:tab w:val="left" w:pos="5328"/>
        </w:tabs>
        <w:ind w:left="720" w:hanging="720"/>
        <w:rPr>
          <w:rFonts w:ascii="Arial" w:hAnsi="Arial" w:cs="Arial"/>
        </w:rPr>
      </w:pPr>
      <w:r>
        <w:rPr>
          <w:rFonts w:ascii="Arial" w:hAnsi="Arial" w:cs="Arial"/>
        </w:rPr>
        <w:t>8</w:t>
      </w:r>
      <w:r w:rsidRPr="001D5FCA">
        <w:rPr>
          <w:rFonts w:ascii="Arial" w:hAnsi="Arial" w:cs="Arial"/>
        </w:rPr>
        <w:t>.1</w:t>
      </w:r>
      <w:r w:rsidRPr="001D5FCA">
        <w:rPr>
          <w:rFonts w:ascii="Arial" w:hAnsi="Arial" w:cs="Arial"/>
        </w:rPr>
        <w:tab/>
        <w:t>The allowance for removal expenses will be 100% of the actu</w:t>
      </w:r>
      <w:r>
        <w:rPr>
          <w:rFonts w:ascii="Arial" w:hAnsi="Arial" w:cs="Arial"/>
        </w:rPr>
        <w:t xml:space="preserve">al cost of removal (subject to section 6.2 of this policy). The amount that can be claimed will be based on the </w:t>
      </w:r>
      <w:r w:rsidRPr="001D5FCA">
        <w:rPr>
          <w:rFonts w:ascii="Arial" w:hAnsi="Arial" w:cs="Arial"/>
        </w:rPr>
        <w:t xml:space="preserve">lowest figure of three written quotations from removal firms who are a member of the British Association of Removers or an equivalent body.  </w:t>
      </w:r>
    </w:p>
    <w:p w14:paraId="631E9571" w14:textId="77777777" w:rsidR="00497D01" w:rsidRPr="001D5FCA" w:rsidRDefault="00497D01" w:rsidP="00913F99">
      <w:pPr>
        <w:tabs>
          <w:tab w:val="left" w:pos="720"/>
          <w:tab w:val="left" w:pos="1728"/>
          <w:tab w:val="left" w:pos="2592"/>
          <w:tab w:val="left" w:pos="4464"/>
          <w:tab w:val="left" w:pos="5328"/>
        </w:tabs>
        <w:rPr>
          <w:rFonts w:ascii="Arial" w:hAnsi="Arial" w:cs="Arial"/>
        </w:rPr>
      </w:pPr>
    </w:p>
    <w:p w14:paraId="27580D7C" w14:textId="77777777" w:rsidR="00497D01" w:rsidRDefault="00497D01" w:rsidP="00913F99">
      <w:pPr>
        <w:tabs>
          <w:tab w:val="left" w:pos="720"/>
          <w:tab w:val="left" w:pos="1728"/>
          <w:tab w:val="left" w:pos="2592"/>
          <w:tab w:val="left" w:pos="4464"/>
          <w:tab w:val="left" w:pos="5328"/>
        </w:tabs>
        <w:ind w:left="720" w:hanging="720"/>
        <w:rPr>
          <w:rFonts w:ascii="Arial" w:hAnsi="Arial" w:cs="Arial"/>
        </w:rPr>
      </w:pPr>
      <w:r>
        <w:rPr>
          <w:rFonts w:ascii="Arial" w:hAnsi="Arial" w:cs="Arial"/>
        </w:rPr>
        <w:t>8</w:t>
      </w:r>
      <w:r w:rsidRPr="001D5FCA">
        <w:rPr>
          <w:rFonts w:ascii="Arial" w:hAnsi="Arial" w:cs="Arial"/>
        </w:rPr>
        <w:t>.2</w:t>
      </w:r>
      <w:r w:rsidRPr="001D5FCA">
        <w:rPr>
          <w:rFonts w:ascii="Arial" w:hAnsi="Arial" w:cs="Arial"/>
        </w:rPr>
        <w:tab/>
        <w:t>When an employ</w:t>
      </w:r>
      <w:r>
        <w:rPr>
          <w:rFonts w:ascii="Arial" w:hAnsi="Arial" w:cs="Arial"/>
        </w:rPr>
        <w:t>ee undertakes their own removal, for example through using</w:t>
      </w:r>
      <w:r w:rsidRPr="001D5FCA">
        <w:rPr>
          <w:rFonts w:ascii="Arial" w:hAnsi="Arial" w:cs="Arial"/>
        </w:rPr>
        <w:t xml:space="preserve"> a hired vehicle</w:t>
      </w:r>
      <w:r w:rsidR="00555756">
        <w:rPr>
          <w:rFonts w:ascii="Arial" w:hAnsi="Arial" w:cs="Arial"/>
        </w:rPr>
        <w:t>,</w:t>
      </w:r>
      <w:r w:rsidRPr="001D5FCA">
        <w:rPr>
          <w:rFonts w:ascii="Arial" w:hAnsi="Arial" w:cs="Arial"/>
        </w:rPr>
        <w:t xml:space="preserve"> they </w:t>
      </w:r>
      <w:r>
        <w:rPr>
          <w:rFonts w:ascii="Arial" w:hAnsi="Arial" w:cs="Arial"/>
        </w:rPr>
        <w:t>will</w:t>
      </w:r>
      <w:r w:rsidRPr="001D5FCA">
        <w:rPr>
          <w:rFonts w:ascii="Arial" w:hAnsi="Arial" w:cs="Arial"/>
        </w:rPr>
        <w:t xml:space="preserve"> be entitled to reimbursement of 1</w:t>
      </w:r>
      <w:r>
        <w:rPr>
          <w:rFonts w:ascii="Arial" w:hAnsi="Arial" w:cs="Arial"/>
        </w:rPr>
        <w:t>00% of actual costs</w:t>
      </w:r>
      <w:r w:rsidR="005073B7">
        <w:rPr>
          <w:rFonts w:ascii="Arial" w:hAnsi="Arial" w:cs="Arial"/>
        </w:rPr>
        <w:t xml:space="preserve"> of the hire vehicle</w:t>
      </w:r>
      <w:r>
        <w:rPr>
          <w:rFonts w:ascii="Arial" w:hAnsi="Arial" w:cs="Arial"/>
        </w:rPr>
        <w:t xml:space="preserve"> (subject to section 6.2 of this policy). The amount that can be claimed will be based on the lowest </w:t>
      </w:r>
      <w:r w:rsidR="00555756">
        <w:rPr>
          <w:rFonts w:ascii="Arial" w:hAnsi="Arial" w:cs="Arial"/>
        </w:rPr>
        <w:t xml:space="preserve">figure </w:t>
      </w:r>
      <w:r>
        <w:rPr>
          <w:rFonts w:ascii="Arial" w:hAnsi="Arial" w:cs="Arial"/>
        </w:rPr>
        <w:t xml:space="preserve">of </w:t>
      </w:r>
      <w:r w:rsidRPr="001D5FCA">
        <w:rPr>
          <w:rFonts w:ascii="Arial" w:hAnsi="Arial" w:cs="Arial"/>
        </w:rPr>
        <w:t xml:space="preserve">three </w:t>
      </w:r>
      <w:r w:rsidR="00555756">
        <w:rPr>
          <w:rFonts w:ascii="Arial" w:hAnsi="Arial" w:cs="Arial"/>
        </w:rPr>
        <w:t xml:space="preserve">written quotations for </w:t>
      </w:r>
      <w:r w:rsidR="00CF20C5">
        <w:rPr>
          <w:rFonts w:ascii="Arial" w:hAnsi="Arial" w:cs="Arial"/>
        </w:rPr>
        <w:t>hire vehicle</w:t>
      </w:r>
      <w:r w:rsidR="00555756">
        <w:rPr>
          <w:rFonts w:ascii="Arial" w:hAnsi="Arial" w:cs="Arial"/>
        </w:rPr>
        <w:t xml:space="preserve"> costs.</w:t>
      </w:r>
    </w:p>
    <w:p w14:paraId="780A0411" w14:textId="77777777" w:rsidR="00555756" w:rsidRDefault="00555756" w:rsidP="00913F99">
      <w:pPr>
        <w:tabs>
          <w:tab w:val="left" w:pos="720"/>
          <w:tab w:val="left" w:pos="1728"/>
          <w:tab w:val="left" w:pos="2592"/>
          <w:tab w:val="left" w:pos="4464"/>
          <w:tab w:val="left" w:pos="5328"/>
        </w:tabs>
        <w:ind w:left="720" w:hanging="720"/>
        <w:rPr>
          <w:rFonts w:ascii="Arial" w:hAnsi="Arial" w:cs="Arial"/>
        </w:rPr>
      </w:pPr>
    </w:p>
    <w:p w14:paraId="334AFEF5" w14:textId="77777777" w:rsidR="00CF20C5" w:rsidRPr="001D5FCA" w:rsidRDefault="00497D01" w:rsidP="00913F99">
      <w:pPr>
        <w:tabs>
          <w:tab w:val="left" w:pos="720"/>
          <w:tab w:val="left" w:pos="1728"/>
          <w:tab w:val="left" w:pos="2592"/>
          <w:tab w:val="left" w:pos="4464"/>
          <w:tab w:val="left" w:pos="5328"/>
        </w:tabs>
        <w:ind w:left="720" w:hanging="720"/>
        <w:rPr>
          <w:rFonts w:ascii="Arial" w:hAnsi="Arial" w:cs="Arial"/>
        </w:rPr>
      </w:pPr>
      <w:r>
        <w:rPr>
          <w:rFonts w:ascii="Arial" w:hAnsi="Arial" w:cs="Arial"/>
        </w:rPr>
        <w:t>8.3</w:t>
      </w:r>
      <w:r w:rsidRPr="001D5FCA">
        <w:rPr>
          <w:rFonts w:ascii="Arial" w:hAnsi="Arial" w:cs="Arial"/>
        </w:rPr>
        <w:tab/>
        <w:t>Reimbursement will be made for storage of furniture of 100% of the cost up to a maximum of</w:t>
      </w:r>
      <w:r>
        <w:rPr>
          <w:rFonts w:ascii="Arial" w:hAnsi="Arial" w:cs="Arial"/>
        </w:rPr>
        <w:t xml:space="preserve"> six months duration of storage (</w:t>
      </w:r>
      <w:r w:rsidRPr="001D5FCA">
        <w:rPr>
          <w:rFonts w:ascii="Arial" w:hAnsi="Arial" w:cs="Arial"/>
        </w:rPr>
        <w:t xml:space="preserve">subject to </w:t>
      </w:r>
      <w:r>
        <w:rPr>
          <w:rFonts w:ascii="Arial" w:hAnsi="Arial" w:cs="Arial"/>
        </w:rPr>
        <w:t xml:space="preserve">section 6.2 of this policy). </w:t>
      </w:r>
      <w:r w:rsidRPr="001D5FCA">
        <w:rPr>
          <w:rFonts w:ascii="Arial" w:hAnsi="Arial" w:cs="Arial"/>
        </w:rPr>
        <w:t xml:space="preserve">As </w:t>
      </w:r>
      <w:r>
        <w:rPr>
          <w:rFonts w:ascii="Arial" w:hAnsi="Arial" w:cs="Arial"/>
        </w:rPr>
        <w:t xml:space="preserve">detailed </w:t>
      </w:r>
      <w:r w:rsidR="00A476AB">
        <w:rPr>
          <w:rFonts w:ascii="Arial" w:hAnsi="Arial" w:cs="Arial"/>
        </w:rPr>
        <w:t>previously</w:t>
      </w:r>
      <w:r>
        <w:rPr>
          <w:rFonts w:ascii="Arial" w:hAnsi="Arial" w:cs="Arial"/>
        </w:rPr>
        <w:t xml:space="preserve">, </w:t>
      </w:r>
      <w:r w:rsidRPr="001D5FCA">
        <w:rPr>
          <w:rFonts w:ascii="Arial" w:hAnsi="Arial" w:cs="Arial"/>
        </w:rPr>
        <w:t>three</w:t>
      </w:r>
      <w:r w:rsidR="00A476AB">
        <w:rPr>
          <w:rFonts w:ascii="Arial" w:hAnsi="Arial" w:cs="Arial"/>
        </w:rPr>
        <w:t xml:space="preserve"> written quotations </w:t>
      </w:r>
      <w:r w:rsidRPr="001D5FCA">
        <w:rPr>
          <w:rFonts w:ascii="Arial" w:hAnsi="Arial" w:cs="Arial"/>
        </w:rPr>
        <w:t>will be required</w:t>
      </w:r>
      <w:r>
        <w:rPr>
          <w:rFonts w:ascii="Arial" w:hAnsi="Arial" w:cs="Arial"/>
        </w:rPr>
        <w:t xml:space="preserve"> and the lowest of these </w:t>
      </w:r>
      <w:r w:rsidRPr="001D5FCA">
        <w:rPr>
          <w:rFonts w:ascii="Arial" w:hAnsi="Arial" w:cs="Arial"/>
        </w:rPr>
        <w:t>will be reimbursed.</w:t>
      </w:r>
      <w:r w:rsidR="00CF20C5">
        <w:rPr>
          <w:rFonts w:ascii="Arial" w:hAnsi="Arial" w:cs="Arial"/>
        </w:rPr>
        <w:t xml:space="preserve">  </w:t>
      </w:r>
      <w:r w:rsidR="00CF20C5" w:rsidRPr="001D5FCA">
        <w:rPr>
          <w:rFonts w:ascii="Arial" w:hAnsi="Arial" w:cs="Arial"/>
        </w:rPr>
        <w:t xml:space="preserve">If furniture is to be put into </w:t>
      </w:r>
      <w:proofErr w:type="gramStart"/>
      <w:r w:rsidR="00CF20C5" w:rsidRPr="001D5FCA">
        <w:rPr>
          <w:rFonts w:ascii="Arial" w:hAnsi="Arial" w:cs="Arial"/>
        </w:rPr>
        <w:t>sto</w:t>
      </w:r>
      <w:r w:rsidR="006223AA">
        <w:rPr>
          <w:rFonts w:ascii="Arial" w:hAnsi="Arial" w:cs="Arial"/>
        </w:rPr>
        <w:t>rage</w:t>
      </w:r>
      <w:proofErr w:type="gramEnd"/>
      <w:r w:rsidR="00CF20C5" w:rsidRPr="001D5FCA">
        <w:rPr>
          <w:rFonts w:ascii="Arial" w:hAnsi="Arial" w:cs="Arial"/>
        </w:rPr>
        <w:t xml:space="preserve"> then </w:t>
      </w:r>
      <w:r w:rsidR="00CF20C5">
        <w:rPr>
          <w:rFonts w:ascii="Arial" w:hAnsi="Arial" w:cs="Arial"/>
        </w:rPr>
        <w:t>the storage facility</w:t>
      </w:r>
      <w:r w:rsidR="00CF20C5" w:rsidRPr="001D5FCA">
        <w:rPr>
          <w:rFonts w:ascii="Arial" w:hAnsi="Arial" w:cs="Arial"/>
        </w:rPr>
        <w:t xml:space="preserve"> must be local to </w:t>
      </w:r>
      <w:r w:rsidR="00CF20C5">
        <w:rPr>
          <w:rFonts w:ascii="Arial" w:hAnsi="Arial" w:cs="Arial"/>
        </w:rPr>
        <w:t xml:space="preserve">the area </w:t>
      </w:r>
      <w:r w:rsidR="00CF20C5" w:rsidRPr="001D5FCA">
        <w:rPr>
          <w:rFonts w:ascii="Arial" w:hAnsi="Arial" w:cs="Arial"/>
        </w:rPr>
        <w:t xml:space="preserve">where </w:t>
      </w:r>
      <w:r w:rsidR="00CF20C5">
        <w:rPr>
          <w:rFonts w:ascii="Arial" w:hAnsi="Arial" w:cs="Arial"/>
        </w:rPr>
        <w:t xml:space="preserve">the employee intends to move. </w:t>
      </w:r>
    </w:p>
    <w:p w14:paraId="5F23BD5E" w14:textId="77777777" w:rsidR="00497D01" w:rsidRPr="001D5FCA" w:rsidRDefault="00497D01" w:rsidP="00913F99">
      <w:pPr>
        <w:tabs>
          <w:tab w:val="left" w:pos="720"/>
          <w:tab w:val="left" w:pos="1728"/>
          <w:tab w:val="left" w:pos="2592"/>
          <w:tab w:val="left" w:pos="4464"/>
          <w:tab w:val="left" w:pos="5328"/>
        </w:tabs>
        <w:rPr>
          <w:rFonts w:ascii="Arial" w:hAnsi="Arial" w:cs="Arial"/>
        </w:rPr>
      </w:pPr>
    </w:p>
    <w:p w14:paraId="79249A1C" w14:textId="77777777" w:rsidR="00497D01" w:rsidRPr="001D5FCA" w:rsidRDefault="00842E2E" w:rsidP="00913F99">
      <w:pPr>
        <w:tabs>
          <w:tab w:val="left" w:pos="720"/>
          <w:tab w:val="left" w:pos="1728"/>
          <w:tab w:val="left" w:pos="2592"/>
          <w:tab w:val="left" w:pos="4464"/>
          <w:tab w:val="left" w:pos="5328"/>
        </w:tabs>
        <w:ind w:left="720" w:hanging="720"/>
        <w:rPr>
          <w:rFonts w:ascii="Arial" w:hAnsi="Arial" w:cs="Arial"/>
        </w:rPr>
      </w:pPr>
      <w:r>
        <w:rPr>
          <w:rFonts w:ascii="Arial" w:hAnsi="Arial" w:cs="Arial"/>
        </w:rPr>
        <w:t>8</w:t>
      </w:r>
      <w:r w:rsidR="00497D01" w:rsidRPr="001D5FCA">
        <w:rPr>
          <w:rFonts w:ascii="Arial" w:hAnsi="Arial" w:cs="Arial"/>
        </w:rPr>
        <w:t>.4</w:t>
      </w:r>
      <w:r w:rsidR="00497D01" w:rsidRPr="001D5FCA">
        <w:rPr>
          <w:rFonts w:ascii="Arial" w:hAnsi="Arial" w:cs="Arial"/>
        </w:rPr>
        <w:tab/>
        <w:t>The employee can claim for only one removal expense.</w:t>
      </w:r>
    </w:p>
    <w:p w14:paraId="0C3911A5" w14:textId="77777777" w:rsidR="00497D01" w:rsidRPr="001D5FCA" w:rsidRDefault="00497D01" w:rsidP="00913F99">
      <w:pPr>
        <w:tabs>
          <w:tab w:val="left" w:pos="720"/>
          <w:tab w:val="left" w:pos="1728"/>
          <w:tab w:val="left" w:pos="2592"/>
          <w:tab w:val="left" w:pos="4464"/>
          <w:tab w:val="left" w:pos="5328"/>
        </w:tabs>
        <w:rPr>
          <w:rFonts w:ascii="Arial" w:hAnsi="Arial" w:cs="Arial"/>
        </w:rPr>
      </w:pPr>
    </w:p>
    <w:p w14:paraId="0466A8F5" w14:textId="77777777" w:rsidR="00497D01" w:rsidRDefault="00842E2E" w:rsidP="00913F99">
      <w:pPr>
        <w:tabs>
          <w:tab w:val="left" w:pos="720"/>
          <w:tab w:val="left" w:pos="1728"/>
          <w:tab w:val="left" w:pos="2592"/>
          <w:tab w:val="left" w:pos="4464"/>
          <w:tab w:val="left" w:pos="5328"/>
        </w:tabs>
        <w:ind w:left="720" w:hanging="720"/>
        <w:jc w:val="both"/>
        <w:rPr>
          <w:rFonts w:ascii="Arial" w:hAnsi="Arial" w:cs="Arial"/>
        </w:rPr>
      </w:pPr>
      <w:r>
        <w:rPr>
          <w:rFonts w:ascii="Arial" w:hAnsi="Arial" w:cs="Arial"/>
        </w:rPr>
        <w:t>8</w:t>
      </w:r>
      <w:r w:rsidR="00497D01" w:rsidRPr="001D5FCA">
        <w:rPr>
          <w:rFonts w:ascii="Arial" w:hAnsi="Arial" w:cs="Arial"/>
        </w:rPr>
        <w:t>.5</w:t>
      </w:r>
      <w:r w:rsidR="00497D01" w:rsidRPr="001D5FCA">
        <w:rPr>
          <w:rFonts w:ascii="Arial" w:hAnsi="Arial" w:cs="Arial"/>
        </w:rPr>
        <w:tab/>
        <w:t xml:space="preserve">The employee is not committed to using the company with the lowest of the quotes.  However, reimbursement will be based on the lowest quote obtained subject to proof of payment of one of the other two quotes.  In this case any V.A.T. will count towards </w:t>
      </w:r>
      <w:r w:rsidR="00497D01" w:rsidRPr="001D5FCA">
        <w:rPr>
          <w:rFonts w:ascii="Arial" w:hAnsi="Arial" w:cs="Arial"/>
        </w:rPr>
        <w:lastRenderedPageBreak/>
        <w:t>the total amount payable under the scheme, as an original invoice supporting the actual reimbursement will not be available.</w:t>
      </w:r>
    </w:p>
    <w:p w14:paraId="5ED79F1A" w14:textId="77777777" w:rsidR="00E346DE" w:rsidRDefault="00E346DE" w:rsidP="00E22AC4">
      <w:pPr>
        <w:pStyle w:val="Numberedheading2"/>
      </w:pPr>
      <w:r>
        <w:t>9.</w:t>
      </w:r>
      <w:r>
        <w:tab/>
        <w:t>Legal Costs / Fees</w:t>
      </w:r>
    </w:p>
    <w:p w14:paraId="353E9BCE" w14:textId="77777777" w:rsidR="00E346DE" w:rsidRPr="001D5FCA" w:rsidRDefault="00E346DE" w:rsidP="00913F99">
      <w:pPr>
        <w:tabs>
          <w:tab w:val="left" w:pos="720"/>
          <w:tab w:val="left" w:pos="2592"/>
          <w:tab w:val="left" w:pos="4464"/>
          <w:tab w:val="left" w:pos="5328"/>
        </w:tabs>
        <w:ind w:left="720" w:hanging="720"/>
        <w:rPr>
          <w:rFonts w:ascii="Arial" w:hAnsi="Arial" w:cs="Arial"/>
        </w:rPr>
      </w:pPr>
      <w:r>
        <w:rPr>
          <w:rFonts w:ascii="Arial" w:hAnsi="Arial" w:cs="Arial"/>
        </w:rPr>
        <w:t>9.1</w:t>
      </w:r>
      <w:r>
        <w:rPr>
          <w:rFonts w:ascii="Arial" w:hAnsi="Arial" w:cs="Arial"/>
        </w:rPr>
        <w:tab/>
        <w:t xml:space="preserve">Any reimbursement of legal costs / fees is </w:t>
      </w:r>
      <w:r w:rsidRPr="001D5FCA">
        <w:rPr>
          <w:rFonts w:ascii="Arial" w:hAnsi="Arial" w:cs="Arial"/>
        </w:rPr>
        <w:t xml:space="preserve">subject to </w:t>
      </w:r>
      <w:r>
        <w:rPr>
          <w:rFonts w:ascii="Arial" w:hAnsi="Arial" w:cs="Arial"/>
        </w:rPr>
        <w:t xml:space="preserve">section 6.2 of this policy.  </w:t>
      </w:r>
      <w:r w:rsidRPr="001D5FCA">
        <w:rPr>
          <w:rFonts w:ascii="Arial" w:hAnsi="Arial" w:cs="Arial"/>
        </w:rPr>
        <w:t>It is intended that 100% of the actual cost of the items</w:t>
      </w:r>
      <w:r>
        <w:rPr>
          <w:rFonts w:ascii="Arial" w:hAnsi="Arial" w:cs="Arial"/>
        </w:rPr>
        <w:t xml:space="preserve"> detailed below will be reimbursed </w:t>
      </w:r>
      <w:r w:rsidRPr="001D5FCA">
        <w:rPr>
          <w:rFonts w:ascii="Arial" w:hAnsi="Arial" w:cs="Arial"/>
        </w:rPr>
        <w:t xml:space="preserve">but </w:t>
      </w:r>
      <w:r>
        <w:rPr>
          <w:rFonts w:ascii="Arial" w:hAnsi="Arial" w:cs="Arial"/>
        </w:rPr>
        <w:t xml:space="preserve">this is </w:t>
      </w:r>
      <w:r w:rsidRPr="001D5FCA">
        <w:rPr>
          <w:rFonts w:ascii="Arial" w:hAnsi="Arial" w:cs="Arial"/>
        </w:rPr>
        <w:t>limited to one property only.</w:t>
      </w:r>
    </w:p>
    <w:p w14:paraId="3DEBFADD" w14:textId="77777777" w:rsidR="00E346DE" w:rsidRPr="001D5FCA" w:rsidRDefault="00E346DE" w:rsidP="00913F99">
      <w:pPr>
        <w:tabs>
          <w:tab w:val="left" w:pos="720"/>
          <w:tab w:val="left" w:pos="1728"/>
          <w:tab w:val="left" w:pos="2592"/>
          <w:tab w:val="left" w:pos="4464"/>
          <w:tab w:val="left" w:pos="5328"/>
        </w:tabs>
        <w:rPr>
          <w:rFonts w:ascii="Arial" w:hAnsi="Arial" w:cs="Arial"/>
        </w:rPr>
      </w:pPr>
    </w:p>
    <w:p w14:paraId="2103BFA3" w14:textId="77777777" w:rsidR="00E346DE" w:rsidRPr="00E346DE" w:rsidRDefault="00E346DE" w:rsidP="00913F99">
      <w:pPr>
        <w:tabs>
          <w:tab w:val="left" w:pos="720"/>
          <w:tab w:val="left" w:pos="1728"/>
          <w:tab w:val="left" w:pos="2592"/>
          <w:tab w:val="left" w:pos="4464"/>
          <w:tab w:val="left" w:pos="5328"/>
        </w:tabs>
        <w:rPr>
          <w:rFonts w:ascii="Arial" w:hAnsi="Arial" w:cs="Arial"/>
        </w:rPr>
      </w:pPr>
      <w:r w:rsidRPr="00E346DE">
        <w:rPr>
          <w:rFonts w:ascii="Arial" w:hAnsi="Arial" w:cs="Arial"/>
        </w:rPr>
        <w:t>9.2</w:t>
      </w:r>
      <w:r w:rsidRPr="00E346DE">
        <w:rPr>
          <w:rFonts w:ascii="Arial" w:hAnsi="Arial" w:cs="Arial"/>
        </w:rPr>
        <w:tab/>
        <w:t xml:space="preserve">House </w:t>
      </w:r>
      <w:proofErr w:type="gramStart"/>
      <w:r w:rsidRPr="00E346DE">
        <w:rPr>
          <w:rFonts w:ascii="Arial" w:hAnsi="Arial" w:cs="Arial"/>
        </w:rPr>
        <w:t>Purchase</w:t>
      </w:r>
      <w:r>
        <w:rPr>
          <w:rFonts w:ascii="Arial" w:hAnsi="Arial" w:cs="Arial"/>
        </w:rPr>
        <w:t>:-</w:t>
      </w:r>
      <w:proofErr w:type="gramEnd"/>
    </w:p>
    <w:p w14:paraId="27DB9167" w14:textId="77777777" w:rsidR="00E346DE" w:rsidRPr="001D5FCA" w:rsidRDefault="00E346DE" w:rsidP="00913F99">
      <w:pPr>
        <w:numPr>
          <w:ilvl w:val="0"/>
          <w:numId w:val="5"/>
        </w:numPr>
        <w:tabs>
          <w:tab w:val="left" w:pos="720"/>
          <w:tab w:val="left" w:pos="1728"/>
          <w:tab w:val="left" w:pos="5184"/>
          <w:tab w:val="left" w:pos="6480"/>
        </w:tabs>
        <w:rPr>
          <w:rFonts w:ascii="Arial" w:hAnsi="Arial" w:cs="Arial"/>
        </w:rPr>
      </w:pPr>
      <w:r w:rsidRPr="001D5FCA">
        <w:rPr>
          <w:rFonts w:ascii="Arial" w:hAnsi="Arial" w:cs="Arial"/>
        </w:rPr>
        <w:t>Solicitor’s fees</w:t>
      </w:r>
      <w:r w:rsidRPr="001D5FCA">
        <w:rPr>
          <w:rFonts w:ascii="Arial" w:hAnsi="Arial" w:cs="Arial"/>
        </w:rPr>
        <w:tab/>
      </w:r>
    </w:p>
    <w:p w14:paraId="2D65F74F" w14:textId="77777777" w:rsidR="00E346DE" w:rsidRPr="001D5FCA" w:rsidRDefault="00E346DE" w:rsidP="00913F99">
      <w:pPr>
        <w:numPr>
          <w:ilvl w:val="0"/>
          <w:numId w:val="5"/>
        </w:numPr>
        <w:tabs>
          <w:tab w:val="left" w:pos="720"/>
          <w:tab w:val="left" w:pos="1728"/>
          <w:tab w:val="left" w:pos="5184"/>
          <w:tab w:val="left" w:pos="6480"/>
        </w:tabs>
        <w:rPr>
          <w:rFonts w:ascii="Arial" w:hAnsi="Arial" w:cs="Arial"/>
        </w:rPr>
      </w:pPr>
      <w:r w:rsidRPr="001D5FCA">
        <w:rPr>
          <w:rFonts w:ascii="Arial" w:hAnsi="Arial" w:cs="Arial"/>
        </w:rPr>
        <w:t>Stamp Duty</w:t>
      </w:r>
      <w:r w:rsidRPr="001D5FCA">
        <w:rPr>
          <w:rFonts w:ascii="Arial" w:hAnsi="Arial" w:cs="Arial"/>
        </w:rPr>
        <w:tab/>
      </w:r>
    </w:p>
    <w:p w14:paraId="3BCD51D7" w14:textId="77777777" w:rsidR="00E346DE" w:rsidRPr="001D5FCA" w:rsidRDefault="00E346DE" w:rsidP="00913F99">
      <w:pPr>
        <w:numPr>
          <w:ilvl w:val="0"/>
          <w:numId w:val="5"/>
        </w:numPr>
        <w:tabs>
          <w:tab w:val="left" w:pos="720"/>
          <w:tab w:val="left" w:pos="1728"/>
          <w:tab w:val="left" w:pos="5184"/>
          <w:tab w:val="left" w:pos="6480"/>
        </w:tabs>
        <w:rPr>
          <w:rFonts w:ascii="Arial" w:hAnsi="Arial" w:cs="Arial"/>
        </w:rPr>
      </w:pPr>
      <w:r w:rsidRPr="001D5FCA">
        <w:rPr>
          <w:rFonts w:ascii="Arial" w:hAnsi="Arial" w:cs="Arial"/>
        </w:rPr>
        <w:t>Valuation survey</w:t>
      </w:r>
      <w:r w:rsidRPr="001D5FCA">
        <w:rPr>
          <w:rFonts w:ascii="Arial" w:hAnsi="Arial" w:cs="Arial"/>
        </w:rPr>
        <w:tab/>
      </w:r>
    </w:p>
    <w:p w14:paraId="4EC96B2A" w14:textId="77777777" w:rsidR="00E346DE" w:rsidRPr="001D5FCA" w:rsidRDefault="00E346DE" w:rsidP="00913F99">
      <w:pPr>
        <w:numPr>
          <w:ilvl w:val="0"/>
          <w:numId w:val="5"/>
        </w:numPr>
        <w:tabs>
          <w:tab w:val="left" w:pos="720"/>
          <w:tab w:val="left" w:pos="1728"/>
          <w:tab w:val="left" w:pos="5184"/>
          <w:tab w:val="left" w:pos="6480"/>
        </w:tabs>
        <w:rPr>
          <w:rFonts w:ascii="Arial" w:hAnsi="Arial" w:cs="Arial"/>
        </w:rPr>
      </w:pPr>
      <w:r w:rsidRPr="001D5FCA">
        <w:rPr>
          <w:rFonts w:ascii="Arial" w:hAnsi="Arial" w:cs="Arial"/>
        </w:rPr>
        <w:t>Coal Mining search</w:t>
      </w:r>
      <w:r w:rsidRPr="001D5FCA">
        <w:rPr>
          <w:rFonts w:ascii="Arial" w:hAnsi="Arial" w:cs="Arial"/>
        </w:rPr>
        <w:tab/>
      </w:r>
    </w:p>
    <w:p w14:paraId="2020FDBB" w14:textId="77777777" w:rsidR="00E346DE" w:rsidRPr="001D5FCA" w:rsidRDefault="00E346DE" w:rsidP="00913F99">
      <w:pPr>
        <w:numPr>
          <w:ilvl w:val="0"/>
          <w:numId w:val="5"/>
        </w:numPr>
        <w:tabs>
          <w:tab w:val="left" w:pos="720"/>
          <w:tab w:val="left" w:pos="1728"/>
          <w:tab w:val="left" w:pos="5184"/>
          <w:tab w:val="left" w:pos="6480"/>
        </w:tabs>
        <w:rPr>
          <w:rFonts w:ascii="Arial" w:hAnsi="Arial" w:cs="Arial"/>
        </w:rPr>
      </w:pPr>
      <w:r w:rsidRPr="001D5FCA">
        <w:rPr>
          <w:rFonts w:ascii="Arial" w:hAnsi="Arial" w:cs="Arial"/>
        </w:rPr>
        <w:t>Local Authority search</w:t>
      </w:r>
      <w:r w:rsidRPr="001D5FCA">
        <w:rPr>
          <w:rFonts w:ascii="Arial" w:hAnsi="Arial" w:cs="Arial"/>
        </w:rPr>
        <w:tab/>
      </w:r>
    </w:p>
    <w:p w14:paraId="2CB2AFC0" w14:textId="77777777" w:rsidR="00E346DE" w:rsidRPr="001D5FCA" w:rsidRDefault="00E346DE" w:rsidP="00913F99">
      <w:pPr>
        <w:numPr>
          <w:ilvl w:val="0"/>
          <w:numId w:val="5"/>
        </w:numPr>
        <w:tabs>
          <w:tab w:val="left" w:pos="720"/>
          <w:tab w:val="left" w:pos="1728"/>
          <w:tab w:val="left" w:pos="5184"/>
          <w:tab w:val="left" w:pos="6480"/>
        </w:tabs>
        <w:rPr>
          <w:rFonts w:ascii="Arial" w:hAnsi="Arial" w:cs="Arial"/>
        </w:rPr>
      </w:pPr>
      <w:r w:rsidRPr="001D5FCA">
        <w:rPr>
          <w:rFonts w:ascii="Arial" w:hAnsi="Arial" w:cs="Arial"/>
        </w:rPr>
        <w:t>Land Registry Fees</w:t>
      </w:r>
      <w:r w:rsidRPr="001D5FCA">
        <w:rPr>
          <w:rFonts w:ascii="Arial" w:hAnsi="Arial" w:cs="Arial"/>
        </w:rPr>
        <w:tab/>
      </w:r>
    </w:p>
    <w:p w14:paraId="5E0D10CB" w14:textId="77777777" w:rsidR="00E346DE" w:rsidRPr="001D5FCA" w:rsidRDefault="00E346DE" w:rsidP="00913F99">
      <w:pPr>
        <w:tabs>
          <w:tab w:val="left" w:pos="720"/>
          <w:tab w:val="left" w:pos="1728"/>
          <w:tab w:val="left" w:pos="5184"/>
          <w:tab w:val="left" w:pos="6480"/>
        </w:tabs>
        <w:rPr>
          <w:rFonts w:ascii="Arial" w:hAnsi="Arial" w:cs="Arial"/>
        </w:rPr>
      </w:pPr>
    </w:p>
    <w:p w14:paraId="364A36DB" w14:textId="77777777" w:rsidR="00E346DE" w:rsidRPr="001D5FCA" w:rsidRDefault="00E346DE" w:rsidP="00913F99">
      <w:pPr>
        <w:tabs>
          <w:tab w:val="left" w:pos="720"/>
          <w:tab w:val="left" w:pos="1728"/>
          <w:tab w:val="left" w:pos="5184"/>
          <w:tab w:val="left" w:pos="6480"/>
        </w:tabs>
        <w:rPr>
          <w:rFonts w:ascii="Arial" w:hAnsi="Arial" w:cs="Arial"/>
        </w:rPr>
      </w:pPr>
      <w:r>
        <w:rPr>
          <w:rFonts w:ascii="Arial" w:hAnsi="Arial" w:cs="Arial"/>
        </w:rPr>
        <w:t>9.3</w:t>
      </w:r>
      <w:r w:rsidRPr="001D5FCA">
        <w:rPr>
          <w:rFonts w:ascii="Arial" w:hAnsi="Arial" w:cs="Arial"/>
        </w:rPr>
        <w:tab/>
      </w:r>
      <w:r w:rsidRPr="00E346DE">
        <w:rPr>
          <w:rFonts w:ascii="Arial" w:hAnsi="Arial" w:cs="Arial"/>
        </w:rPr>
        <w:t xml:space="preserve">House </w:t>
      </w:r>
      <w:proofErr w:type="gramStart"/>
      <w:r w:rsidRPr="00E346DE">
        <w:rPr>
          <w:rFonts w:ascii="Arial" w:hAnsi="Arial" w:cs="Arial"/>
        </w:rPr>
        <w:t>Sales</w:t>
      </w:r>
      <w:r>
        <w:rPr>
          <w:rFonts w:ascii="Arial" w:hAnsi="Arial" w:cs="Arial"/>
        </w:rPr>
        <w:t>:-</w:t>
      </w:r>
      <w:proofErr w:type="gramEnd"/>
    </w:p>
    <w:p w14:paraId="582733BE" w14:textId="77777777" w:rsidR="00E346DE" w:rsidRPr="001D5FCA" w:rsidRDefault="00E346DE" w:rsidP="00913F99">
      <w:pPr>
        <w:numPr>
          <w:ilvl w:val="0"/>
          <w:numId w:val="6"/>
        </w:numPr>
        <w:tabs>
          <w:tab w:val="left" w:pos="720"/>
          <w:tab w:val="left" w:pos="1728"/>
          <w:tab w:val="left" w:pos="5184"/>
          <w:tab w:val="left" w:pos="6480"/>
        </w:tabs>
        <w:rPr>
          <w:rFonts w:ascii="Arial" w:hAnsi="Arial" w:cs="Arial"/>
        </w:rPr>
      </w:pPr>
      <w:r w:rsidRPr="001D5FCA">
        <w:rPr>
          <w:rFonts w:ascii="Arial" w:hAnsi="Arial" w:cs="Arial"/>
        </w:rPr>
        <w:t>Solicitor’s fees</w:t>
      </w:r>
    </w:p>
    <w:p w14:paraId="72F8E519" w14:textId="77777777" w:rsidR="00E346DE" w:rsidRPr="001D5FCA" w:rsidRDefault="00E346DE" w:rsidP="00913F99">
      <w:pPr>
        <w:numPr>
          <w:ilvl w:val="0"/>
          <w:numId w:val="6"/>
        </w:numPr>
        <w:tabs>
          <w:tab w:val="left" w:pos="720"/>
          <w:tab w:val="left" w:pos="1728"/>
          <w:tab w:val="left" w:pos="5184"/>
          <w:tab w:val="left" w:pos="6480"/>
        </w:tabs>
        <w:rPr>
          <w:rFonts w:ascii="Arial" w:hAnsi="Arial" w:cs="Arial"/>
        </w:rPr>
      </w:pPr>
      <w:r w:rsidRPr="001D5FCA">
        <w:rPr>
          <w:rFonts w:ascii="Arial" w:hAnsi="Arial" w:cs="Arial"/>
        </w:rPr>
        <w:t>Estate Agents fees</w:t>
      </w:r>
      <w:r>
        <w:rPr>
          <w:rFonts w:ascii="Arial" w:hAnsi="Arial" w:cs="Arial"/>
        </w:rPr>
        <w:t xml:space="preserve"> </w:t>
      </w:r>
      <w:r w:rsidRPr="001D5FCA">
        <w:rPr>
          <w:rFonts w:ascii="Arial" w:hAnsi="Arial" w:cs="Arial"/>
        </w:rPr>
        <w:t>(including advertising)</w:t>
      </w:r>
    </w:p>
    <w:p w14:paraId="4E34CFFE" w14:textId="19ADF04A" w:rsidR="00526229" w:rsidRPr="00E346DE" w:rsidRDefault="00E346DE" w:rsidP="00E22AC4">
      <w:pPr>
        <w:pStyle w:val="Numberedheading2"/>
      </w:pPr>
      <w:r w:rsidRPr="00E346DE">
        <w:t>Accommodation Allowance</w:t>
      </w:r>
    </w:p>
    <w:p w14:paraId="61844879" w14:textId="77777777" w:rsidR="00526229" w:rsidRDefault="00E346DE" w:rsidP="00913F99">
      <w:pPr>
        <w:numPr>
          <w:ilvl w:val="1"/>
          <w:numId w:val="7"/>
        </w:numPr>
        <w:tabs>
          <w:tab w:val="clear" w:pos="360"/>
          <w:tab w:val="num" w:pos="720"/>
          <w:tab w:val="left" w:pos="1728"/>
          <w:tab w:val="left" w:pos="2592"/>
          <w:tab w:val="left" w:pos="4464"/>
          <w:tab w:val="left" w:pos="5328"/>
        </w:tabs>
        <w:ind w:left="720" w:hanging="720"/>
        <w:rPr>
          <w:rFonts w:ascii="Arial" w:hAnsi="Arial" w:cs="Arial"/>
        </w:rPr>
      </w:pPr>
      <w:r w:rsidRPr="001D5FCA">
        <w:rPr>
          <w:rFonts w:ascii="Arial" w:hAnsi="Arial" w:cs="Arial"/>
        </w:rPr>
        <w:t>An allowance of up to £</w:t>
      </w:r>
      <w:r>
        <w:rPr>
          <w:rFonts w:ascii="Arial" w:hAnsi="Arial" w:cs="Arial"/>
        </w:rPr>
        <w:t>350</w:t>
      </w:r>
      <w:r w:rsidRPr="001D5FCA">
        <w:rPr>
          <w:rFonts w:ascii="Arial" w:hAnsi="Arial" w:cs="Arial"/>
        </w:rPr>
        <w:t xml:space="preserve"> per </w:t>
      </w:r>
      <w:r>
        <w:rPr>
          <w:rFonts w:ascii="Arial" w:hAnsi="Arial" w:cs="Arial"/>
        </w:rPr>
        <w:t>month</w:t>
      </w:r>
      <w:r w:rsidRPr="001D5FCA">
        <w:rPr>
          <w:rFonts w:ascii="Arial" w:hAnsi="Arial" w:cs="Arial"/>
        </w:rPr>
        <w:t xml:space="preserve"> will be paid for a maximum of </w:t>
      </w:r>
      <w:r w:rsidR="00661ECD">
        <w:rPr>
          <w:rFonts w:ascii="Arial" w:hAnsi="Arial" w:cs="Arial"/>
        </w:rPr>
        <w:t>6 months</w:t>
      </w:r>
      <w:r w:rsidRPr="001D5FCA">
        <w:rPr>
          <w:rFonts w:ascii="Arial" w:hAnsi="Arial" w:cs="Arial"/>
        </w:rPr>
        <w:t>, effective from the date of commencement of employment.  The temporary address must be within the 15-mile radius</w:t>
      </w:r>
      <w:r w:rsidR="00163231">
        <w:rPr>
          <w:rFonts w:ascii="Arial" w:hAnsi="Arial" w:cs="Arial"/>
        </w:rPr>
        <w:t>.</w:t>
      </w:r>
    </w:p>
    <w:p w14:paraId="2ADD2692" w14:textId="77777777" w:rsidR="00163231" w:rsidRDefault="00163231" w:rsidP="00913F99">
      <w:pPr>
        <w:tabs>
          <w:tab w:val="left" w:pos="720"/>
          <w:tab w:val="left" w:pos="1728"/>
          <w:tab w:val="left" w:pos="2592"/>
          <w:tab w:val="left" w:pos="4464"/>
          <w:tab w:val="left" w:pos="5328"/>
        </w:tabs>
        <w:rPr>
          <w:rFonts w:ascii="Arial" w:hAnsi="Arial" w:cs="Arial"/>
        </w:rPr>
      </w:pPr>
    </w:p>
    <w:p w14:paraId="011D7600" w14:textId="77777777" w:rsidR="00163231" w:rsidRDefault="00163231" w:rsidP="00913F99">
      <w:pPr>
        <w:tabs>
          <w:tab w:val="left" w:pos="720"/>
          <w:tab w:val="left" w:pos="1728"/>
          <w:tab w:val="left" w:pos="2592"/>
          <w:tab w:val="left" w:pos="4464"/>
          <w:tab w:val="left" w:pos="5328"/>
        </w:tabs>
        <w:ind w:left="720" w:hanging="720"/>
        <w:rPr>
          <w:rFonts w:ascii="Arial" w:hAnsi="Arial" w:cs="Arial"/>
        </w:rPr>
      </w:pPr>
      <w:r>
        <w:rPr>
          <w:rFonts w:ascii="Arial" w:hAnsi="Arial" w:cs="Arial"/>
        </w:rPr>
        <w:t>10.2</w:t>
      </w:r>
      <w:r>
        <w:rPr>
          <w:rFonts w:ascii="Arial" w:hAnsi="Arial" w:cs="Arial"/>
        </w:rPr>
        <w:tab/>
        <w:t xml:space="preserve">The allowance may be used for staying at a local guesthouse or for the rent of furnished or non-furnished accommodation.  </w:t>
      </w:r>
    </w:p>
    <w:p w14:paraId="62449200" w14:textId="77777777" w:rsidR="00163231" w:rsidRDefault="00163231" w:rsidP="00913F99">
      <w:pPr>
        <w:tabs>
          <w:tab w:val="left" w:pos="720"/>
          <w:tab w:val="left" w:pos="1728"/>
          <w:tab w:val="left" w:pos="2592"/>
          <w:tab w:val="left" w:pos="4464"/>
          <w:tab w:val="left" w:pos="5328"/>
        </w:tabs>
        <w:ind w:left="720" w:hanging="720"/>
        <w:rPr>
          <w:rFonts w:ascii="Arial" w:hAnsi="Arial" w:cs="Arial"/>
        </w:rPr>
      </w:pPr>
    </w:p>
    <w:p w14:paraId="7BA1E616" w14:textId="2E302851" w:rsidR="00163231" w:rsidRDefault="00163231" w:rsidP="00913F99">
      <w:pPr>
        <w:numPr>
          <w:ilvl w:val="1"/>
          <w:numId w:val="8"/>
        </w:numPr>
        <w:tabs>
          <w:tab w:val="clear" w:pos="465"/>
          <w:tab w:val="num" w:pos="720"/>
          <w:tab w:val="left" w:pos="1728"/>
          <w:tab w:val="left" w:pos="2592"/>
          <w:tab w:val="left" w:pos="4464"/>
          <w:tab w:val="left" w:pos="5328"/>
        </w:tabs>
        <w:ind w:left="720" w:hanging="720"/>
        <w:rPr>
          <w:rFonts w:ascii="Arial" w:hAnsi="Arial" w:cs="Arial"/>
        </w:rPr>
      </w:pPr>
      <w:r>
        <w:rPr>
          <w:rFonts w:ascii="Arial" w:hAnsi="Arial" w:cs="Arial"/>
        </w:rPr>
        <w:t>The allowance may be claimed temporarily pending the sale of the employee’s previous property or the employee may ch</w:t>
      </w:r>
      <w:r w:rsidR="006223AA">
        <w:rPr>
          <w:rFonts w:ascii="Arial" w:hAnsi="Arial" w:cs="Arial"/>
        </w:rPr>
        <w:t>o</w:t>
      </w:r>
      <w:r>
        <w:rPr>
          <w:rFonts w:ascii="Arial" w:hAnsi="Arial" w:cs="Arial"/>
        </w:rPr>
        <w:t xml:space="preserve">ose to use the allowance to rent a property close to their work base and still retain their previous </w:t>
      </w:r>
      <w:r w:rsidR="00A476AB">
        <w:rPr>
          <w:rFonts w:ascii="Arial" w:hAnsi="Arial" w:cs="Arial"/>
        </w:rPr>
        <w:t>home</w:t>
      </w:r>
      <w:r>
        <w:rPr>
          <w:rFonts w:ascii="Arial" w:hAnsi="Arial" w:cs="Arial"/>
        </w:rPr>
        <w:t xml:space="preserve">.  Employees should be aware that </w:t>
      </w:r>
      <w:r w:rsidR="007E4877">
        <w:rPr>
          <w:rFonts w:ascii="Arial" w:hAnsi="Arial" w:cs="Arial"/>
        </w:rPr>
        <w:t xml:space="preserve">where they </w:t>
      </w:r>
      <w:r w:rsidR="00A476AB">
        <w:rPr>
          <w:rFonts w:ascii="Arial" w:hAnsi="Arial" w:cs="Arial"/>
        </w:rPr>
        <w:t xml:space="preserve">retain their previous home as their main residence (i.e. by </w:t>
      </w:r>
      <w:r w:rsidR="007E4877">
        <w:rPr>
          <w:rFonts w:ascii="Arial" w:hAnsi="Arial" w:cs="Arial"/>
        </w:rPr>
        <w:t>stay</w:t>
      </w:r>
      <w:r w:rsidR="00A476AB">
        <w:rPr>
          <w:rFonts w:ascii="Arial" w:hAnsi="Arial" w:cs="Arial"/>
        </w:rPr>
        <w:t>ing</w:t>
      </w:r>
      <w:r w:rsidR="007E4877">
        <w:rPr>
          <w:rFonts w:ascii="Arial" w:hAnsi="Arial" w:cs="Arial"/>
        </w:rPr>
        <w:t xml:space="preserve"> in </w:t>
      </w:r>
      <w:r w:rsidR="00A476AB">
        <w:rPr>
          <w:rFonts w:ascii="Arial" w:hAnsi="Arial" w:cs="Arial"/>
        </w:rPr>
        <w:t>temporary</w:t>
      </w:r>
      <w:r w:rsidR="007E4877">
        <w:rPr>
          <w:rFonts w:ascii="Arial" w:hAnsi="Arial" w:cs="Arial"/>
        </w:rPr>
        <w:t xml:space="preserve"> accommodation during the week</w:t>
      </w:r>
      <w:r w:rsidR="00A476AB">
        <w:rPr>
          <w:rFonts w:ascii="Arial" w:hAnsi="Arial" w:cs="Arial"/>
        </w:rPr>
        <w:t xml:space="preserve"> and returning </w:t>
      </w:r>
      <w:r w:rsidR="007E4877">
        <w:rPr>
          <w:rFonts w:ascii="Arial" w:hAnsi="Arial" w:cs="Arial"/>
        </w:rPr>
        <w:t xml:space="preserve">to their home </w:t>
      </w:r>
      <w:r w:rsidR="00A476AB">
        <w:rPr>
          <w:rFonts w:ascii="Arial" w:hAnsi="Arial" w:cs="Arial"/>
        </w:rPr>
        <w:t xml:space="preserve">only </w:t>
      </w:r>
      <w:r w:rsidR="007E4877">
        <w:rPr>
          <w:rFonts w:ascii="Arial" w:hAnsi="Arial" w:cs="Arial"/>
        </w:rPr>
        <w:t>at weekends</w:t>
      </w:r>
      <w:r w:rsidR="00A476AB">
        <w:rPr>
          <w:rFonts w:ascii="Arial" w:hAnsi="Arial" w:cs="Arial"/>
        </w:rPr>
        <w:t xml:space="preserve">) </w:t>
      </w:r>
      <w:r w:rsidR="007E4877">
        <w:rPr>
          <w:rFonts w:ascii="Arial" w:hAnsi="Arial" w:cs="Arial"/>
        </w:rPr>
        <w:t xml:space="preserve">they are unlikely to be entitled to the exemption to pay tax and national insurance on the relocation expenses they have claimed. More information in relation to this can be found on the Revenue &amp; Customs website at </w:t>
      </w:r>
      <w:hyperlink r:id="rId14" w:tooltip="HMRC website" w:history="1">
        <w:r w:rsidR="007E4877" w:rsidRPr="004E1D93">
          <w:rPr>
            <w:rStyle w:val="Hyperlink"/>
            <w:rFonts w:ascii="Arial" w:hAnsi="Arial" w:cs="Arial"/>
          </w:rPr>
          <w:t>www.hmrc.gov.uk</w:t>
        </w:r>
      </w:hyperlink>
      <w:r w:rsidR="007E4877">
        <w:rPr>
          <w:rFonts w:ascii="Arial" w:hAnsi="Arial" w:cs="Arial"/>
        </w:rPr>
        <w:t xml:space="preserve"> </w:t>
      </w:r>
    </w:p>
    <w:p w14:paraId="0B8760B2" w14:textId="6FA36E61" w:rsidR="007F2EB7" w:rsidRPr="007F2EB7" w:rsidRDefault="007F2EB7" w:rsidP="00E22AC4">
      <w:pPr>
        <w:pStyle w:val="Numberedheading2"/>
      </w:pPr>
      <w:r w:rsidRPr="007F2EB7">
        <w:t>Settling-in Allowance</w:t>
      </w:r>
    </w:p>
    <w:p w14:paraId="6E466835" w14:textId="77777777" w:rsidR="007F2EB7" w:rsidRDefault="007F2EB7" w:rsidP="00913F99">
      <w:pPr>
        <w:tabs>
          <w:tab w:val="left" w:pos="720"/>
          <w:tab w:val="left" w:pos="1728"/>
          <w:tab w:val="left" w:pos="2592"/>
          <w:tab w:val="left" w:pos="4464"/>
          <w:tab w:val="left" w:pos="5328"/>
        </w:tabs>
        <w:ind w:left="720" w:hanging="720"/>
        <w:rPr>
          <w:rFonts w:ascii="Arial" w:hAnsi="Arial" w:cs="Arial"/>
        </w:rPr>
      </w:pPr>
      <w:r>
        <w:rPr>
          <w:rFonts w:ascii="Arial" w:hAnsi="Arial" w:cs="Arial"/>
        </w:rPr>
        <w:t>11.1</w:t>
      </w:r>
      <w:r>
        <w:rPr>
          <w:rFonts w:ascii="Arial" w:hAnsi="Arial" w:cs="Arial"/>
        </w:rPr>
        <w:tab/>
        <w:t xml:space="preserve">The Council will provide a settling-in allowance of up to a maximum of 10% of the total amount that can be claimed (as detailed in section 6.2). This can be used for expenses such </w:t>
      </w:r>
      <w:proofErr w:type="gramStart"/>
      <w:r>
        <w:rPr>
          <w:rFonts w:ascii="Arial" w:hAnsi="Arial" w:cs="Arial"/>
        </w:rPr>
        <w:t>as:-</w:t>
      </w:r>
      <w:proofErr w:type="gramEnd"/>
    </w:p>
    <w:p w14:paraId="1E18A5E7" w14:textId="77777777" w:rsidR="007F2EB7" w:rsidRDefault="007F2EB7" w:rsidP="00913F99">
      <w:pPr>
        <w:tabs>
          <w:tab w:val="left" w:pos="720"/>
          <w:tab w:val="left" w:pos="1728"/>
          <w:tab w:val="left" w:pos="2592"/>
          <w:tab w:val="left" w:pos="4464"/>
          <w:tab w:val="left" w:pos="5328"/>
        </w:tabs>
        <w:ind w:left="720" w:hanging="720"/>
        <w:rPr>
          <w:rFonts w:ascii="Arial" w:hAnsi="Arial" w:cs="Arial"/>
        </w:rPr>
      </w:pPr>
    </w:p>
    <w:p w14:paraId="32A15115" w14:textId="77777777" w:rsidR="007F2EB7" w:rsidRDefault="007F2EB7" w:rsidP="00913F99">
      <w:pPr>
        <w:numPr>
          <w:ilvl w:val="0"/>
          <w:numId w:val="9"/>
        </w:numPr>
        <w:tabs>
          <w:tab w:val="left" w:pos="720"/>
          <w:tab w:val="left" w:pos="1728"/>
          <w:tab w:val="left" w:pos="2592"/>
          <w:tab w:val="left" w:pos="4464"/>
          <w:tab w:val="left" w:pos="5328"/>
        </w:tabs>
        <w:rPr>
          <w:rFonts w:ascii="Arial" w:hAnsi="Arial" w:cs="Arial"/>
        </w:rPr>
      </w:pPr>
      <w:r>
        <w:rPr>
          <w:rFonts w:ascii="Arial" w:hAnsi="Arial" w:cs="Arial"/>
        </w:rPr>
        <w:t>Plumbing in of washing machine</w:t>
      </w:r>
    </w:p>
    <w:p w14:paraId="71B05503" w14:textId="77777777" w:rsidR="007F2EB7" w:rsidRDefault="007F2EB7" w:rsidP="00913F99">
      <w:pPr>
        <w:numPr>
          <w:ilvl w:val="0"/>
          <w:numId w:val="9"/>
        </w:numPr>
        <w:tabs>
          <w:tab w:val="left" w:pos="720"/>
          <w:tab w:val="left" w:pos="1728"/>
          <w:tab w:val="left" w:pos="2592"/>
          <w:tab w:val="left" w:pos="4464"/>
          <w:tab w:val="left" w:pos="5328"/>
        </w:tabs>
        <w:rPr>
          <w:rFonts w:ascii="Arial" w:hAnsi="Arial" w:cs="Arial"/>
        </w:rPr>
      </w:pPr>
      <w:r>
        <w:rPr>
          <w:rFonts w:ascii="Arial" w:hAnsi="Arial" w:cs="Arial"/>
        </w:rPr>
        <w:t>Changing locks</w:t>
      </w:r>
    </w:p>
    <w:p w14:paraId="14BA51BF" w14:textId="77777777" w:rsidR="007F2EB7" w:rsidRDefault="007F2EB7" w:rsidP="00913F99">
      <w:pPr>
        <w:numPr>
          <w:ilvl w:val="0"/>
          <w:numId w:val="9"/>
        </w:numPr>
        <w:tabs>
          <w:tab w:val="left" w:pos="720"/>
          <w:tab w:val="left" w:pos="1728"/>
          <w:tab w:val="left" w:pos="2592"/>
          <w:tab w:val="left" w:pos="4464"/>
          <w:tab w:val="left" w:pos="5328"/>
        </w:tabs>
        <w:rPr>
          <w:rFonts w:ascii="Arial" w:hAnsi="Arial" w:cs="Arial"/>
        </w:rPr>
      </w:pPr>
      <w:r>
        <w:rPr>
          <w:rFonts w:ascii="Arial" w:hAnsi="Arial" w:cs="Arial"/>
        </w:rPr>
        <w:t xml:space="preserve">Hanging of curtains </w:t>
      </w:r>
    </w:p>
    <w:p w14:paraId="4ADED764" w14:textId="77777777" w:rsidR="007F2EB7" w:rsidRDefault="007F2EB7" w:rsidP="00913F99">
      <w:pPr>
        <w:numPr>
          <w:ilvl w:val="0"/>
          <w:numId w:val="9"/>
        </w:numPr>
        <w:tabs>
          <w:tab w:val="left" w:pos="720"/>
          <w:tab w:val="left" w:pos="1728"/>
          <w:tab w:val="left" w:pos="2592"/>
          <w:tab w:val="left" w:pos="4464"/>
          <w:tab w:val="left" w:pos="5328"/>
        </w:tabs>
        <w:rPr>
          <w:rFonts w:ascii="Arial" w:hAnsi="Arial" w:cs="Arial"/>
        </w:rPr>
      </w:pPr>
      <w:r>
        <w:rPr>
          <w:rFonts w:ascii="Arial" w:hAnsi="Arial" w:cs="Arial"/>
        </w:rPr>
        <w:t>Other unavoidable expenses</w:t>
      </w:r>
    </w:p>
    <w:p w14:paraId="61F9EA59" w14:textId="77777777" w:rsidR="007F2EB7" w:rsidRDefault="007F2EB7" w:rsidP="00913F99">
      <w:pPr>
        <w:tabs>
          <w:tab w:val="left" w:pos="720"/>
          <w:tab w:val="left" w:pos="1728"/>
          <w:tab w:val="left" w:pos="2592"/>
          <w:tab w:val="left" w:pos="4464"/>
          <w:tab w:val="left" w:pos="5328"/>
        </w:tabs>
        <w:ind w:left="720" w:hanging="720"/>
        <w:rPr>
          <w:rFonts w:ascii="Arial" w:hAnsi="Arial" w:cs="Arial"/>
        </w:rPr>
      </w:pPr>
    </w:p>
    <w:p w14:paraId="4BA03C10" w14:textId="77777777" w:rsidR="007F2EB7" w:rsidRDefault="007F2EB7" w:rsidP="00913F99">
      <w:pPr>
        <w:tabs>
          <w:tab w:val="left" w:pos="720"/>
          <w:tab w:val="left" w:pos="1728"/>
          <w:tab w:val="left" w:pos="2592"/>
          <w:tab w:val="left" w:pos="4464"/>
          <w:tab w:val="left" w:pos="5328"/>
        </w:tabs>
        <w:ind w:left="720" w:hanging="720"/>
        <w:rPr>
          <w:rFonts w:ascii="Arial" w:hAnsi="Arial" w:cs="Arial"/>
        </w:rPr>
      </w:pPr>
      <w:r>
        <w:rPr>
          <w:rFonts w:ascii="Arial" w:hAnsi="Arial" w:cs="Arial"/>
        </w:rPr>
        <w:lastRenderedPageBreak/>
        <w:t>11.2</w:t>
      </w:r>
      <w:r>
        <w:rPr>
          <w:rFonts w:ascii="Arial" w:hAnsi="Arial" w:cs="Arial"/>
        </w:rPr>
        <w:tab/>
        <w:t>All claims for this allowance must be made for expenses incurred within 6 months of moving into the new property.</w:t>
      </w:r>
    </w:p>
    <w:p w14:paraId="22C906FE" w14:textId="27815461" w:rsidR="00163231" w:rsidRPr="007E4877" w:rsidRDefault="007F2EB7" w:rsidP="00E22AC4">
      <w:pPr>
        <w:pStyle w:val="Numberedheading2"/>
      </w:pPr>
      <w:r>
        <w:t>Travel H</w:t>
      </w:r>
      <w:r w:rsidR="007E4877" w:rsidRPr="007E4877">
        <w:t>ome</w:t>
      </w:r>
      <w:r>
        <w:t xml:space="preserve"> Allowance</w:t>
      </w:r>
    </w:p>
    <w:p w14:paraId="38BC0554" w14:textId="77777777" w:rsidR="005724CF" w:rsidRDefault="007E4877" w:rsidP="00913F99">
      <w:pPr>
        <w:numPr>
          <w:ilvl w:val="1"/>
          <w:numId w:val="10"/>
        </w:numPr>
        <w:tabs>
          <w:tab w:val="clear" w:pos="465"/>
          <w:tab w:val="num" w:pos="720"/>
          <w:tab w:val="left" w:pos="1728"/>
          <w:tab w:val="left" w:pos="2592"/>
          <w:tab w:val="left" w:pos="4464"/>
          <w:tab w:val="left" w:pos="5328"/>
        </w:tabs>
        <w:ind w:left="720" w:hanging="720"/>
        <w:rPr>
          <w:rFonts w:ascii="Arial" w:hAnsi="Arial" w:cs="Arial"/>
        </w:rPr>
      </w:pPr>
      <w:r>
        <w:rPr>
          <w:rFonts w:ascii="Arial" w:hAnsi="Arial" w:cs="Arial"/>
        </w:rPr>
        <w:t>If the employee is lodging in temporary accommodation prior to a p</w:t>
      </w:r>
      <w:r w:rsidR="005724CF">
        <w:rPr>
          <w:rFonts w:ascii="Arial" w:hAnsi="Arial" w:cs="Arial"/>
        </w:rPr>
        <w:t>ermanent relocation to the area</w:t>
      </w:r>
      <w:r>
        <w:rPr>
          <w:rFonts w:ascii="Arial" w:hAnsi="Arial" w:cs="Arial"/>
        </w:rPr>
        <w:t xml:space="preserve"> they may claim expenses for travel</w:t>
      </w:r>
      <w:r w:rsidR="005724CF">
        <w:rPr>
          <w:rFonts w:ascii="Arial" w:hAnsi="Arial" w:cs="Arial"/>
        </w:rPr>
        <w:t xml:space="preserve">ling back to their home address.  </w:t>
      </w:r>
    </w:p>
    <w:p w14:paraId="20253764" w14:textId="77777777" w:rsidR="005724CF" w:rsidRDefault="005724CF" w:rsidP="00913F99">
      <w:pPr>
        <w:tabs>
          <w:tab w:val="left" w:pos="720"/>
          <w:tab w:val="left" w:pos="1728"/>
          <w:tab w:val="left" w:pos="2592"/>
          <w:tab w:val="left" w:pos="4464"/>
          <w:tab w:val="left" w:pos="5328"/>
        </w:tabs>
        <w:rPr>
          <w:rFonts w:ascii="Arial" w:hAnsi="Arial" w:cs="Arial"/>
        </w:rPr>
      </w:pPr>
    </w:p>
    <w:p w14:paraId="4ECAC2EE" w14:textId="77777777" w:rsidR="00163231" w:rsidRDefault="005724CF" w:rsidP="00913F99">
      <w:pPr>
        <w:numPr>
          <w:ilvl w:val="1"/>
          <w:numId w:val="10"/>
        </w:numPr>
        <w:tabs>
          <w:tab w:val="clear" w:pos="465"/>
          <w:tab w:val="num" w:pos="720"/>
          <w:tab w:val="left" w:pos="1728"/>
          <w:tab w:val="left" w:pos="2592"/>
          <w:tab w:val="left" w:pos="4464"/>
          <w:tab w:val="left" w:pos="5328"/>
        </w:tabs>
        <w:ind w:left="720" w:hanging="720"/>
        <w:rPr>
          <w:rFonts w:ascii="Arial" w:hAnsi="Arial" w:cs="Arial"/>
        </w:rPr>
      </w:pPr>
      <w:r w:rsidRPr="001912E9">
        <w:rPr>
          <w:rFonts w:ascii="Arial" w:hAnsi="Arial" w:cs="Arial"/>
        </w:rPr>
        <w:t xml:space="preserve">This payment may only be claimed once employment with the Council has commenced and will be reimbursed on </w:t>
      </w:r>
      <w:r w:rsidR="00F63661">
        <w:rPr>
          <w:rFonts w:ascii="Arial" w:hAnsi="Arial" w:cs="Arial"/>
        </w:rPr>
        <w:t xml:space="preserve">a mileage allowance based on the essential car user mileage rate for the middle band (over 8500 miles) or standard class public rail / bus fare rate </w:t>
      </w:r>
      <w:r w:rsidR="00154EE7">
        <w:rPr>
          <w:rFonts w:ascii="Arial" w:hAnsi="Arial" w:cs="Arial"/>
        </w:rPr>
        <w:t xml:space="preserve">subject to one journey </w:t>
      </w:r>
      <w:r w:rsidRPr="001912E9">
        <w:rPr>
          <w:rFonts w:ascii="Arial" w:hAnsi="Arial" w:cs="Arial"/>
        </w:rPr>
        <w:t xml:space="preserve">every four weeks for a maximum of 6 return journeys.  </w:t>
      </w:r>
    </w:p>
    <w:p w14:paraId="4B5A62EA" w14:textId="0E411993" w:rsidR="00526229" w:rsidRDefault="005724CF" w:rsidP="00E22AC4">
      <w:pPr>
        <w:pStyle w:val="Numberedheading2"/>
      </w:pPr>
      <w:r w:rsidRPr="005724CF">
        <w:t xml:space="preserve">Daily Travel </w:t>
      </w:r>
      <w:r>
        <w:t>Allowance</w:t>
      </w:r>
    </w:p>
    <w:p w14:paraId="1B154555" w14:textId="77777777" w:rsidR="005724CF" w:rsidRDefault="005724CF" w:rsidP="00913F99">
      <w:pPr>
        <w:tabs>
          <w:tab w:val="left" w:pos="720"/>
          <w:tab w:val="left" w:pos="1728"/>
          <w:tab w:val="left" w:pos="2592"/>
          <w:tab w:val="left" w:pos="4464"/>
          <w:tab w:val="left" w:pos="5328"/>
        </w:tabs>
        <w:ind w:left="720" w:hanging="720"/>
        <w:rPr>
          <w:rFonts w:ascii="Arial" w:hAnsi="Arial" w:cs="Arial"/>
        </w:rPr>
      </w:pPr>
      <w:r w:rsidRPr="005724CF">
        <w:rPr>
          <w:rFonts w:ascii="Arial" w:hAnsi="Arial" w:cs="Arial"/>
        </w:rPr>
        <w:t>1</w:t>
      </w:r>
      <w:r w:rsidR="007F2EB7">
        <w:rPr>
          <w:rFonts w:ascii="Arial" w:hAnsi="Arial" w:cs="Arial"/>
        </w:rPr>
        <w:t>3</w:t>
      </w:r>
      <w:r w:rsidRPr="005724CF">
        <w:rPr>
          <w:rFonts w:ascii="Arial" w:hAnsi="Arial" w:cs="Arial"/>
        </w:rPr>
        <w:t>.1</w:t>
      </w:r>
      <w:r w:rsidRPr="005724CF">
        <w:rPr>
          <w:rFonts w:ascii="Arial" w:hAnsi="Arial" w:cs="Arial"/>
        </w:rPr>
        <w:tab/>
      </w:r>
      <w:r>
        <w:rPr>
          <w:rFonts w:ascii="Arial" w:hAnsi="Arial" w:cs="Arial"/>
        </w:rPr>
        <w:t>Instead of living in temporary accommodation, employees may cho</w:t>
      </w:r>
      <w:r w:rsidR="006223AA">
        <w:rPr>
          <w:rFonts w:ascii="Arial" w:hAnsi="Arial" w:cs="Arial"/>
        </w:rPr>
        <w:t>o</w:t>
      </w:r>
      <w:r>
        <w:rPr>
          <w:rFonts w:ascii="Arial" w:hAnsi="Arial" w:cs="Arial"/>
        </w:rPr>
        <w:t xml:space="preserve">se to travel daily between their Council work base and their home address.  This will only be in circumstances where the manager has confirmed that this arrangement will not have a detrimental effect to the performance of the employee’s duties within the post or on service delivery requirements. </w:t>
      </w:r>
    </w:p>
    <w:p w14:paraId="1A119BE2" w14:textId="77777777" w:rsidR="005724CF" w:rsidRDefault="005724CF" w:rsidP="00913F99">
      <w:pPr>
        <w:tabs>
          <w:tab w:val="left" w:pos="720"/>
          <w:tab w:val="left" w:pos="1728"/>
          <w:tab w:val="left" w:pos="2592"/>
          <w:tab w:val="left" w:pos="4464"/>
          <w:tab w:val="left" w:pos="5328"/>
        </w:tabs>
        <w:ind w:left="720" w:hanging="720"/>
        <w:rPr>
          <w:rFonts w:ascii="Arial" w:hAnsi="Arial" w:cs="Arial"/>
        </w:rPr>
      </w:pPr>
    </w:p>
    <w:p w14:paraId="3095E3F3" w14:textId="77777777" w:rsidR="005724CF" w:rsidRPr="005724CF" w:rsidRDefault="005724CF" w:rsidP="00913F99">
      <w:pPr>
        <w:tabs>
          <w:tab w:val="left" w:pos="720"/>
          <w:tab w:val="left" w:pos="1728"/>
          <w:tab w:val="left" w:pos="2592"/>
          <w:tab w:val="left" w:pos="4464"/>
          <w:tab w:val="left" w:pos="5328"/>
        </w:tabs>
        <w:ind w:left="720" w:hanging="720"/>
        <w:rPr>
          <w:rFonts w:ascii="Arial" w:hAnsi="Arial" w:cs="Arial"/>
        </w:rPr>
      </w:pPr>
      <w:r w:rsidRPr="00661ECD">
        <w:rPr>
          <w:rFonts w:ascii="Arial" w:hAnsi="Arial" w:cs="Arial"/>
        </w:rPr>
        <w:t>1</w:t>
      </w:r>
      <w:r w:rsidR="007F2EB7" w:rsidRPr="00661ECD">
        <w:rPr>
          <w:rFonts w:ascii="Arial" w:hAnsi="Arial" w:cs="Arial"/>
        </w:rPr>
        <w:t>3</w:t>
      </w:r>
      <w:r w:rsidRPr="00661ECD">
        <w:rPr>
          <w:rFonts w:ascii="Arial" w:hAnsi="Arial" w:cs="Arial"/>
        </w:rPr>
        <w:t>.2</w:t>
      </w:r>
      <w:r>
        <w:rPr>
          <w:rFonts w:ascii="Arial" w:hAnsi="Arial" w:cs="Arial"/>
        </w:rPr>
        <w:tab/>
        <w:t>Where daily travel is agreed, a mileage allowance based on the essential car user mileage rate for the middle band (over 8500 miles</w:t>
      </w:r>
      <w:proofErr w:type="gramStart"/>
      <w:r>
        <w:rPr>
          <w:rFonts w:ascii="Arial" w:hAnsi="Arial" w:cs="Arial"/>
        </w:rPr>
        <w:t>)</w:t>
      </w:r>
      <w:proofErr w:type="gramEnd"/>
      <w:r>
        <w:rPr>
          <w:rFonts w:ascii="Arial" w:hAnsi="Arial" w:cs="Arial"/>
        </w:rPr>
        <w:t xml:space="preserve"> </w:t>
      </w:r>
      <w:r w:rsidR="00F63661">
        <w:rPr>
          <w:rFonts w:ascii="Arial" w:hAnsi="Arial" w:cs="Arial"/>
        </w:rPr>
        <w:t xml:space="preserve">or standard class public rail / bus fare rate </w:t>
      </w:r>
      <w:r>
        <w:rPr>
          <w:rFonts w:ascii="Arial" w:hAnsi="Arial" w:cs="Arial"/>
        </w:rPr>
        <w:t xml:space="preserve">will be paid.  This allowance will be paid for a maximum of 6 </w:t>
      </w:r>
      <w:r w:rsidR="00661ECD">
        <w:rPr>
          <w:rFonts w:ascii="Arial" w:hAnsi="Arial" w:cs="Arial"/>
        </w:rPr>
        <w:t>months</w:t>
      </w:r>
      <w:r>
        <w:rPr>
          <w:rFonts w:ascii="Arial" w:hAnsi="Arial" w:cs="Arial"/>
        </w:rPr>
        <w:t xml:space="preserve"> and the amount payable each </w:t>
      </w:r>
      <w:r w:rsidR="00661ECD">
        <w:rPr>
          <w:rFonts w:ascii="Arial" w:hAnsi="Arial" w:cs="Arial"/>
        </w:rPr>
        <w:t>month</w:t>
      </w:r>
      <w:r>
        <w:rPr>
          <w:rFonts w:ascii="Arial" w:hAnsi="Arial" w:cs="Arial"/>
        </w:rPr>
        <w:t xml:space="preserve"> should not exceed </w:t>
      </w:r>
      <w:r w:rsidR="00661ECD">
        <w:rPr>
          <w:rFonts w:ascii="Arial" w:hAnsi="Arial" w:cs="Arial"/>
        </w:rPr>
        <w:t xml:space="preserve">75% of </w:t>
      </w:r>
      <w:r>
        <w:rPr>
          <w:rFonts w:ascii="Arial" w:hAnsi="Arial" w:cs="Arial"/>
        </w:rPr>
        <w:t xml:space="preserve">the amount payable for accommodation allowance. </w:t>
      </w:r>
    </w:p>
    <w:p w14:paraId="0156B99F" w14:textId="77777777" w:rsidR="00526229" w:rsidRDefault="00526229" w:rsidP="00913F99">
      <w:pPr>
        <w:tabs>
          <w:tab w:val="left" w:pos="720"/>
          <w:tab w:val="left" w:pos="1728"/>
          <w:tab w:val="left" w:pos="2592"/>
          <w:tab w:val="left" w:pos="4464"/>
          <w:tab w:val="left" w:pos="5328"/>
        </w:tabs>
        <w:rPr>
          <w:rFonts w:ascii="Arial" w:hAnsi="Arial" w:cs="Arial"/>
        </w:rPr>
      </w:pPr>
    </w:p>
    <w:p w14:paraId="771BC227" w14:textId="77777777" w:rsidR="00526229" w:rsidRDefault="005724CF" w:rsidP="00913F99">
      <w:pPr>
        <w:tabs>
          <w:tab w:val="left" w:pos="720"/>
          <w:tab w:val="left" w:pos="1728"/>
          <w:tab w:val="left" w:pos="2592"/>
          <w:tab w:val="left" w:pos="4464"/>
          <w:tab w:val="left" w:pos="5328"/>
        </w:tabs>
        <w:ind w:left="720" w:hanging="720"/>
        <w:rPr>
          <w:rFonts w:ascii="Arial" w:hAnsi="Arial" w:cs="Arial"/>
        </w:rPr>
      </w:pPr>
      <w:r w:rsidRPr="002B7F86">
        <w:rPr>
          <w:rFonts w:ascii="Arial" w:hAnsi="Arial" w:cs="Arial"/>
        </w:rPr>
        <w:t>1</w:t>
      </w:r>
      <w:r w:rsidR="007F2EB7" w:rsidRPr="002B7F86">
        <w:rPr>
          <w:rFonts w:ascii="Arial" w:hAnsi="Arial" w:cs="Arial"/>
        </w:rPr>
        <w:t>3</w:t>
      </w:r>
      <w:r w:rsidRPr="002B7F86">
        <w:rPr>
          <w:rFonts w:ascii="Arial" w:hAnsi="Arial" w:cs="Arial"/>
        </w:rPr>
        <w:t>.3</w:t>
      </w:r>
      <w:r w:rsidRPr="002B7F86">
        <w:rPr>
          <w:rFonts w:ascii="Arial" w:hAnsi="Arial" w:cs="Arial"/>
        </w:rPr>
        <w:tab/>
        <w:t xml:space="preserve">This daily travel allowance is only payable where the employee intends to move within a </w:t>
      </w:r>
      <w:proofErr w:type="gramStart"/>
      <w:r w:rsidRPr="002B7F86">
        <w:rPr>
          <w:rFonts w:ascii="Arial" w:hAnsi="Arial" w:cs="Arial"/>
        </w:rPr>
        <w:t>15 mile</w:t>
      </w:r>
      <w:proofErr w:type="gramEnd"/>
      <w:r w:rsidRPr="002B7F86">
        <w:rPr>
          <w:rFonts w:ascii="Arial" w:hAnsi="Arial" w:cs="Arial"/>
        </w:rPr>
        <w:t xml:space="preserve"> radius of the main Council offices. If the employee claims this allowance but does not subsequently move within two years of commencing </w:t>
      </w:r>
      <w:proofErr w:type="gramStart"/>
      <w:r w:rsidRPr="002B7F86">
        <w:rPr>
          <w:rFonts w:ascii="Arial" w:hAnsi="Arial" w:cs="Arial"/>
        </w:rPr>
        <w:t>employment</w:t>
      </w:r>
      <w:proofErr w:type="gramEnd"/>
      <w:r w:rsidRPr="002B7F86">
        <w:rPr>
          <w:rFonts w:ascii="Arial" w:hAnsi="Arial" w:cs="Arial"/>
        </w:rPr>
        <w:t xml:space="preserve"> then all </w:t>
      </w:r>
      <w:r w:rsidR="007F2EB7" w:rsidRPr="002B7F86">
        <w:rPr>
          <w:rFonts w:ascii="Arial" w:hAnsi="Arial" w:cs="Arial"/>
        </w:rPr>
        <w:t xml:space="preserve">claims will be repaid to the Council. </w:t>
      </w:r>
    </w:p>
    <w:p w14:paraId="7EF4579D" w14:textId="77777777" w:rsidR="00526229" w:rsidRPr="001D5FCA" w:rsidRDefault="00526229" w:rsidP="00913F99">
      <w:pPr>
        <w:tabs>
          <w:tab w:val="left" w:pos="720"/>
          <w:tab w:val="left" w:pos="1728"/>
          <w:tab w:val="left" w:pos="2592"/>
          <w:tab w:val="left" w:pos="4464"/>
          <w:tab w:val="left" w:pos="5328"/>
        </w:tabs>
        <w:rPr>
          <w:rFonts w:ascii="Arial" w:hAnsi="Arial" w:cs="Arial"/>
        </w:rPr>
      </w:pPr>
    </w:p>
    <w:p w14:paraId="7ED21ABE" w14:textId="77777777" w:rsidR="00FF5BC9" w:rsidRDefault="007F2EB7" w:rsidP="00913F99">
      <w:pPr>
        <w:tabs>
          <w:tab w:val="left" w:pos="720"/>
          <w:tab w:val="center" w:pos="1296"/>
          <w:tab w:val="left" w:pos="3744"/>
        </w:tabs>
        <w:ind w:left="720" w:hanging="720"/>
        <w:rPr>
          <w:rFonts w:ascii="Arial" w:hAnsi="Arial" w:cs="Arial"/>
        </w:rPr>
      </w:pPr>
      <w:r>
        <w:rPr>
          <w:rFonts w:ascii="Arial" w:hAnsi="Arial" w:cs="Arial"/>
        </w:rPr>
        <w:t>13.4</w:t>
      </w:r>
      <w:r>
        <w:rPr>
          <w:rFonts w:ascii="Arial" w:hAnsi="Arial" w:cs="Arial"/>
        </w:rPr>
        <w:tab/>
        <w:t>The daily travel allowance will not be payable if the employee is claiming Accommodation Allowance and / or Travel Home Allowance (as detailed in sections 10 and 12).</w:t>
      </w:r>
    </w:p>
    <w:p w14:paraId="351CFAA6" w14:textId="26568880" w:rsidR="006D1E05" w:rsidRPr="007F2EB7" w:rsidRDefault="007F2EB7" w:rsidP="00E22AC4">
      <w:pPr>
        <w:pStyle w:val="Numberedheading2"/>
      </w:pPr>
      <w:r w:rsidRPr="007F2EB7">
        <w:t>V.A.T</w:t>
      </w:r>
    </w:p>
    <w:p w14:paraId="2E8766B2" w14:textId="77777777" w:rsidR="00ED022B" w:rsidRDefault="007F2EB7" w:rsidP="00913F99">
      <w:pPr>
        <w:numPr>
          <w:ilvl w:val="1"/>
          <w:numId w:val="11"/>
        </w:numPr>
        <w:tabs>
          <w:tab w:val="center" w:pos="1296"/>
          <w:tab w:val="left" w:pos="3744"/>
        </w:tabs>
        <w:rPr>
          <w:rFonts w:ascii="Arial" w:hAnsi="Arial" w:cs="Arial"/>
        </w:rPr>
      </w:pPr>
      <w:r>
        <w:rPr>
          <w:rFonts w:ascii="Arial" w:hAnsi="Arial" w:cs="Arial"/>
        </w:rPr>
        <w:t xml:space="preserve">The Council will reimburse V.A.T in the services for which the employee has claimed under this relocation policy.  The V.A.T will not count towards the maximum amount payable if the original invoices are submitted with the claim. </w:t>
      </w:r>
    </w:p>
    <w:p w14:paraId="1B7B7868" w14:textId="77777777" w:rsidR="00ED022B" w:rsidRDefault="00ED022B" w:rsidP="00913F99">
      <w:pPr>
        <w:tabs>
          <w:tab w:val="left" w:pos="720"/>
          <w:tab w:val="center" w:pos="1296"/>
          <w:tab w:val="left" w:pos="3744"/>
        </w:tabs>
        <w:rPr>
          <w:rFonts w:ascii="Arial" w:hAnsi="Arial" w:cs="Arial"/>
        </w:rPr>
      </w:pPr>
    </w:p>
    <w:p w14:paraId="6AC6FB08" w14:textId="77777777" w:rsidR="007F2EB7" w:rsidRDefault="00ED022B" w:rsidP="00913F99">
      <w:pPr>
        <w:numPr>
          <w:ilvl w:val="1"/>
          <w:numId w:val="11"/>
        </w:numPr>
        <w:tabs>
          <w:tab w:val="center" w:pos="1296"/>
          <w:tab w:val="left" w:pos="3744"/>
        </w:tabs>
        <w:rPr>
          <w:rFonts w:ascii="Arial" w:hAnsi="Arial" w:cs="Arial"/>
        </w:rPr>
      </w:pPr>
      <w:r>
        <w:rPr>
          <w:rFonts w:ascii="Arial" w:hAnsi="Arial" w:cs="Arial"/>
        </w:rPr>
        <w:t xml:space="preserve">If the employee does not submit an original invoice with their </w:t>
      </w:r>
      <w:proofErr w:type="gramStart"/>
      <w:r>
        <w:rPr>
          <w:rFonts w:ascii="Arial" w:hAnsi="Arial" w:cs="Arial"/>
        </w:rPr>
        <w:t>claim</w:t>
      </w:r>
      <w:proofErr w:type="gramEnd"/>
      <w:r>
        <w:rPr>
          <w:rFonts w:ascii="Arial" w:hAnsi="Arial" w:cs="Arial"/>
        </w:rPr>
        <w:t xml:space="preserve"> </w:t>
      </w:r>
      <w:r w:rsidR="007F2EB7">
        <w:rPr>
          <w:rFonts w:ascii="Arial" w:hAnsi="Arial" w:cs="Arial"/>
        </w:rPr>
        <w:t>then the total amount, including V.A.T</w:t>
      </w:r>
      <w:r>
        <w:rPr>
          <w:rFonts w:ascii="Arial" w:hAnsi="Arial" w:cs="Arial"/>
        </w:rPr>
        <w:t>,</w:t>
      </w:r>
      <w:r w:rsidR="007F2EB7">
        <w:rPr>
          <w:rFonts w:ascii="Arial" w:hAnsi="Arial" w:cs="Arial"/>
        </w:rPr>
        <w:t xml:space="preserve"> will count towards the maximums payable within the categories and the maximum amount payable under the scheme.  Please refer to the legal agreement for more information regarding the amounts that are payable as part of this policy.</w:t>
      </w:r>
    </w:p>
    <w:p w14:paraId="09256E3C" w14:textId="77A906D5" w:rsidR="007F2EB7" w:rsidRPr="007F2EB7" w:rsidRDefault="007F2EB7" w:rsidP="00E22AC4">
      <w:pPr>
        <w:pStyle w:val="Numberedheading2"/>
      </w:pPr>
      <w:r w:rsidRPr="007F2EB7">
        <w:lastRenderedPageBreak/>
        <w:t>Receipts</w:t>
      </w:r>
    </w:p>
    <w:p w14:paraId="0F44DE2C" w14:textId="77777777" w:rsidR="007F2EB7" w:rsidRDefault="007F2EB7" w:rsidP="00913F99">
      <w:pPr>
        <w:tabs>
          <w:tab w:val="left" w:pos="720"/>
          <w:tab w:val="left" w:pos="1728"/>
          <w:tab w:val="left" w:pos="5184"/>
          <w:tab w:val="left" w:pos="6480"/>
        </w:tabs>
        <w:ind w:left="720" w:hanging="720"/>
        <w:rPr>
          <w:rFonts w:ascii="Arial" w:hAnsi="Arial" w:cs="Arial"/>
        </w:rPr>
      </w:pPr>
      <w:r>
        <w:rPr>
          <w:rFonts w:ascii="Arial" w:hAnsi="Arial" w:cs="Arial"/>
        </w:rPr>
        <w:t>15.1</w:t>
      </w:r>
      <w:r>
        <w:rPr>
          <w:rFonts w:ascii="Arial" w:hAnsi="Arial" w:cs="Arial"/>
        </w:rPr>
        <w:tab/>
      </w:r>
      <w:r w:rsidR="00ED022B">
        <w:rPr>
          <w:rFonts w:ascii="Arial" w:hAnsi="Arial" w:cs="Arial"/>
        </w:rPr>
        <w:t xml:space="preserve">The allowances detailed within this policy may </w:t>
      </w:r>
      <w:r w:rsidRPr="001D5FCA">
        <w:rPr>
          <w:rFonts w:ascii="Arial" w:hAnsi="Arial" w:cs="Arial"/>
        </w:rPr>
        <w:t>only</w:t>
      </w:r>
      <w:r w:rsidR="00ED022B">
        <w:rPr>
          <w:rFonts w:ascii="Arial" w:hAnsi="Arial" w:cs="Arial"/>
        </w:rPr>
        <w:t xml:space="preserve"> be claimed</w:t>
      </w:r>
      <w:r w:rsidRPr="001D5FCA">
        <w:rPr>
          <w:rFonts w:ascii="Arial" w:hAnsi="Arial" w:cs="Arial"/>
        </w:rPr>
        <w:t xml:space="preserve"> if the expenditure to which they refer has </w:t>
      </w:r>
      <w:proofErr w:type="gramStart"/>
      <w:r w:rsidRPr="001D5FCA">
        <w:rPr>
          <w:rFonts w:ascii="Arial" w:hAnsi="Arial" w:cs="Arial"/>
        </w:rPr>
        <w:t>actually been</w:t>
      </w:r>
      <w:proofErr w:type="gramEnd"/>
      <w:r w:rsidRPr="001D5FCA">
        <w:rPr>
          <w:rFonts w:ascii="Arial" w:hAnsi="Arial" w:cs="Arial"/>
        </w:rPr>
        <w:t xml:space="preserve"> incurred</w:t>
      </w:r>
      <w:r w:rsidR="00ED022B">
        <w:rPr>
          <w:rFonts w:ascii="Arial" w:hAnsi="Arial" w:cs="Arial"/>
        </w:rPr>
        <w:t>. C</w:t>
      </w:r>
      <w:r w:rsidRPr="001D5FCA">
        <w:rPr>
          <w:rFonts w:ascii="Arial" w:hAnsi="Arial" w:cs="Arial"/>
        </w:rPr>
        <w:t xml:space="preserve">laims must be submitted </w:t>
      </w:r>
      <w:r w:rsidR="00ED022B">
        <w:rPr>
          <w:rFonts w:ascii="Arial" w:hAnsi="Arial" w:cs="Arial"/>
        </w:rPr>
        <w:t xml:space="preserve">on the appropriate forms </w:t>
      </w:r>
      <w:r w:rsidR="002B7F86">
        <w:rPr>
          <w:rFonts w:ascii="Arial" w:hAnsi="Arial" w:cs="Arial"/>
        </w:rPr>
        <w:t>to the employee's line manager</w:t>
      </w:r>
      <w:r w:rsidR="00ED022B" w:rsidRPr="001D5FCA">
        <w:rPr>
          <w:rFonts w:ascii="Arial" w:hAnsi="Arial" w:cs="Arial"/>
        </w:rPr>
        <w:t xml:space="preserve"> withi</w:t>
      </w:r>
      <w:r w:rsidR="00ED022B">
        <w:rPr>
          <w:rFonts w:ascii="Arial" w:hAnsi="Arial" w:cs="Arial"/>
        </w:rPr>
        <w:t xml:space="preserve">n two months of the expenditure and should be </w:t>
      </w:r>
      <w:r w:rsidRPr="001D5FCA">
        <w:rPr>
          <w:rFonts w:ascii="Arial" w:hAnsi="Arial" w:cs="Arial"/>
        </w:rPr>
        <w:t>supported by original invoices and receipts</w:t>
      </w:r>
      <w:r w:rsidR="002B7F86">
        <w:rPr>
          <w:rFonts w:ascii="Arial" w:hAnsi="Arial" w:cs="Arial"/>
        </w:rPr>
        <w:t xml:space="preserve">.  If claims are over two </w:t>
      </w:r>
      <w:proofErr w:type="gramStart"/>
      <w:r w:rsidR="002B7F86">
        <w:rPr>
          <w:rFonts w:ascii="Arial" w:hAnsi="Arial" w:cs="Arial"/>
        </w:rPr>
        <w:t>months</w:t>
      </w:r>
      <w:proofErr w:type="gramEnd"/>
      <w:r w:rsidR="002B7F86">
        <w:rPr>
          <w:rFonts w:ascii="Arial" w:hAnsi="Arial" w:cs="Arial"/>
        </w:rPr>
        <w:t xml:space="preserve"> then these should be submitted to the Service Director</w:t>
      </w:r>
      <w:r w:rsidR="000311A8">
        <w:rPr>
          <w:rFonts w:ascii="Arial" w:hAnsi="Arial" w:cs="Arial"/>
        </w:rPr>
        <w:t xml:space="preserve"> for approval</w:t>
      </w:r>
      <w:r w:rsidR="002B7F86">
        <w:rPr>
          <w:rFonts w:ascii="Arial" w:hAnsi="Arial" w:cs="Arial"/>
        </w:rPr>
        <w:t>.</w:t>
      </w:r>
      <w:r w:rsidRPr="001D5FCA">
        <w:rPr>
          <w:rFonts w:ascii="Arial" w:hAnsi="Arial" w:cs="Arial"/>
        </w:rPr>
        <w:t xml:space="preserve"> </w:t>
      </w:r>
    </w:p>
    <w:p w14:paraId="44049B82" w14:textId="026CA2D8" w:rsidR="00254F03" w:rsidRPr="00254F03" w:rsidRDefault="00254F03" w:rsidP="00E22AC4">
      <w:pPr>
        <w:pStyle w:val="Numberedheading2"/>
      </w:pPr>
      <w:r w:rsidRPr="00254F03">
        <w:t>Relocation for disabled employees</w:t>
      </w:r>
    </w:p>
    <w:p w14:paraId="331D4D02" w14:textId="77777777" w:rsidR="00254F03" w:rsidRDefault="00254F03" w:rsidP="00913F99">
      <w:pPr>
        <w:tabs>
          <w:tab w:val="left" w:pos="720"/>
          <w:tab w:val="center" w:pos="1296"/>
          <w:tab w:val="left" w:pos="3744"/>
        </w:tabs>
        <w:ind w:left="720" w:hanging="720"/>
        <w:rPr>
          <w:rFonts w:ascii="Arial" w:hAnsi="Arial" w:cs="Arial"/>
        </w:rPr>
      </w:pPr>
      <w:r>
        <w:rPr>
          <w:rFonts w:ascii="Arial" w:hAnsi="Arial" w:cs="Arial"/>
        </w:rPr>
        <w:t>16.1</w:t>
      </w:r>
      <w:r>
        <w:rPr>
          <w:rFonts w:ascii="Arial" w:hAnsi="Arial" w:cs="Arial"/>
        </w:rPr>
        <w:tab/>
        <w:t>Where an employee is disabled (as defined by the Equality Act</w:t>
      </w:r>
      <w:r w:rsidR="002B7F86">
        <w:rPr>
          <w:rFonts w:ascii="Arial" w:hAnsi="Arial" w:cs="Arial"/>
        </w:rPr>
        <w:t xml:space="preserve"> 2010</w:t>
      </w:r>
      <w:r>
        <w:rPr>
          <w:rFonts w:ascii="Arial" w:hAnsi="Arial" w:cs="Arial"/>
        </w:rPr>
        <w:t xml:space="preserve">) they may require additional support for adaptations for their home </w:t>
      </w:r>
      <w:proofErr w:type="gramStart"/>
      <w:r>
        <w:rPr>
          <w:rFonts w:ascii="Arial" w:hAnsi="Arial" w:cs="Arial"/>
        </w:rPr>
        <w:t>in order to</w:t>
      </w:r>
      <w:proofErr w:type="gramEnd"/>
      <w:r>
        <w:rPr>
          <w:rFonts w:ascii="Arial" w:hAnsi="Arial" w:cs="Arial"/>
        </w:rPr>
        <w:t xml:space="preserve"> support a move / enabling them to access temporary accommodation.  In these circumstances employees should seek further information from Human Resources and each case will be considered individually on its own merits.  </w:t>
      </w:r>
    </w:p>
    <w:p w14:paraId="16CCED5B" w14:textId="0E89E189" w:rsidR="006D1E05" w:rsidRPr="00B96586" w:rsidRDefault="006D1E05" w:rsidP="00E22AC4">
      <w:pPr>
        <w:pStyle w:val="Numberedheading2"/>
      </w:pPr>
      <w:r w:rsidRPr="00B96586">
        <w:t>Additional information</w:t>
      </w:r>
    </w:p>
    <w:p w14:paraId="60D17264" w14:textId="77777777" w:rsidR="001F3E08" w:rsidRPr="001D5FCA" w:rsidRDefault="00ED022B" w:rsidP="00913F99">
      <w:pPr>
        <w:tabs>
          <w:tab w:val="left" w:pos="720"/>
          <w:tab w:val="center" w:pos="1296"/>
          <w:tab w:val="left" w:pos="3744"/>
        </w:tabs>
        <w:ind w:left="720" w:hanging="720"/>
        <w:rPr>
          <w:rFonts w:ascii="Arial" w:hAnsi="Arial" w:cs="Arial"/>
        </w:rPr>
      </w:pPr>
      <w:r>
        <w:rPr>
          <w:rFonts w:ascii="Arial" w:hAnsi="Arial" w:cs="Arial"/>
        </w:rPr>
        <w:t>1</w:t>
      </w:r>
      <w:r w:rsidR="00254F03">
        <w:rPr>
          <w:rFonts w:ascii="Arial" w:hAnsi="Arial" w:cs="Arial"/>
        </w:rPr>
        <w:t>7</w:t>
      </w:r>
      <w:r>
        <w:rPr>
          <w:rFonts w:ascii="Arial" w:hAnsi="Arial" w:cs="Arial"/>
        </w:rPr>
        <w:t>.1</w:t>
      </w:r>
      <w:r>
        <w:rPr>
          <w:rFonts w:ascii="Arial" w:hAnsi="Arial" w:cs="Arial"/>
        </w:rPr>
        <w:tab/>
      </w:r>
      <w:r w:rsidR="001F3E08" w:rsidRPr="001D5FCA">
        <w:rPr>
          <w:rFonts w:ascii="Arial" w:hAnsi="Arial" w:cs="Arial"/>
        </w:rPr>
        <w:t xml:space="preserve">In exceptional circumstances variations to some aspects of the </w:t>
      </w:r>
      <w:r>
        <w:rPr>
          <w:rFonts w:ascii="Arial" w:hAnsi="Arial" w:cs="Arial"/>
        </w:rPr>
        <w:t>policy may be considered</w:t>
      </w:r>
      <w:r w:rsidR="001F3E08" w:rsidRPr="001D5FCA">
        <w:rPr>
          <w:rFonts w:ascii="Arial" w:hAnsi="Arial" w:cs="Arial"/>
        </w:rPr>
        <w:t xml:space="preserve">, </w:t>
      </w:r>
      <w:r>
        <w:rPr>
          <w:rFonts w:ascii="Arial" w:hAnsi="Arial" w:cs="Arial"/>
        </w:rPr>
        <w:t xml:space="preserve">for example </w:t>
      </w:r>
      <w:r w:rsidR="001F3E08" w:rsidRPr="001D5FCA">
        <w:rPr>
          <w:rFonts w:ascii="Arial" w:hAnsi="Arial" w:cs="Arial"/>
        </w:rPr>
        <w:t xml:space="preserve">time </w:t>
      </w:r>
      <w:r>
        <w:rPr>
          <w:rFonts w:ascii="Arial" w:hAnsi="Arial" w:cs="Arial"/>
        </w:rPr>
        <w:t>constraints or place of work</w:t>
      </w:r>
      <w:r w:rsidR="001F3E08" w:rsidRPr="001D5FCA">
        <w:rPr>
          <w:rFonts w:ascii="Arial" w:hAnsi="Arial" w:cs="Arial"/>
        </w:rPr>
        <w:t xml:space="preserve">.  The employee must discuss any variations with their </w:t>
      </w:r>
      <w:r w:rsidR="002B7F86">
        <w:rPr>
          <w:rFonts w:ascii="Arial" w:hAnsi="Arial" w:cs="Arial"/>
        </w:rPr>
        <w:t>Service Director</w:t>
      </w:r>
      <w:r w:rsidR="00B96586">
        <w:rPr>
          <w:rFonts w:ascii="Arial" w:hAnsi="Arial" w:cs="Arial"/>
        </w:rPr>
        <w:t xml:space="preserve"> who will then </w:t>
      </w:r>
      <w:r w:rsidR="001F3E08" w:rsidRPr="001D5FCA">
        <w:rPr>
          <w:rFonts w:ascii="Arial" w:hAnsi="Arial" w:cs="Arial"/>
        </w:rPr>
        <w:t xml:space="preserve">discuss the issue with the </w:t>
      </w:r>
      <w:r w:rsidR="001F3E08">
        <w:rPr>
          <w:rFonts w:ascii="Arial" w:hAnsi="Arial" w:cs="Arial"/>
        </w:rPr>
        <w:t>HR Manager</w:t>
      </w:r>
      <w:r w:rsidR="00B96586">
        <w:rPr>
          <w:rFonts w:ascii="Arial" w:hAnsi="Arial" w:cs="Arial"/>
        </w:rPr>
        <w:t xml:space="preserve"> to ensure consistent application of the policy. </w:t>
      </w:r>
    </w:p>
    <w:p w14:paraId="5E1E3D78" w14:textId="77777777" w:rsidR="001F3E08" w:rsidRPr="001D5FCA" w:rsidRDefault="001F3E08" w:rsidP="00913F99">
      <w:pPr>
        <w:tabs>
          <w:tab w:val="left" w:pos="720"/>
          <w:tab w:val="center" w:pos="1296"/>
          <w:tab w:val="left" w:pos="3744"/>
        </w:tabs>
        <w:rPr>
          <w:rFonts w:ascii="Arial" w:hAnsi="Arial" w:cs="Arial"/>
        </w:rPr>
      </w:pPr>
    </w:p>
    <w:p w14:paraId="492907F3" w14:textId="77777777" w:rsidR="002B7F86" w:rsidRDefault="001F3E08" w:rsidP="00913F99">
      <w:pPr>
        <w:numPr>
          <w:ilvl w:val="1"/>
          <w:numId w:val="12"/>
        </w:numPr>
        <w:tabs>
          <w:tab w:val="center" w:pos="1296"/>
          <w:tab w:val="left" w:pos="3744"/>
        </w:tabs>
        <w:rPr>
          <w:rFonts w:ascii="Arial" w:hAnsi="Arial" w:cs="Arial"/>
        </w:rPr>
      </w:pPr>
      <w:r w:rsidRPr="001D5FCA">
        <w:rPr>
          <w:rFonts w:ascii="Arial" w:hAnsi="Arial" w:cs="Arial"/>
        </w:rPr>
        <w:t>No variations to the financial limits of the scheme will be considered.</w:t>
      </w:r>
    </w:p>
    <w:p w14:paraId="4622C992" w14:textId="77777777" w:rsidR="002B7F86" w:rsidRDefault="002B7F86" w:rsidP="00913F99">
      <w:pPr>
        <w:tabs>
          <w:tab w:val="center" w:pos="1296"/>
          <w:tab w:val="left" w:pos="3744"/>
        </w:tabs>
        <w:rPr>
          <w:rFonts w:ascii="Arial" w:hAnsi="Arial" w:cs="Arial"/>
        </w:rPr>
      </w:pPr>
    </w:p>
    <w:p w14:paraId="3F9BCD24" w14:textId="77777777" w:rsidR="002B2BAD" w:rsidRPr="002B7F86" w:rsidRDefault="002B7F86" w:rsidP="00913F99">
      <w:pPr>
        <w:numPr>
          <w:ilvl w:val="1"/>
          <w:numId w:val="12"/>
        </w:numPr>
        <w:tabs>
          <w:tab w:val="center" w:pos="1296"/>
          <w:tab w:val="left" w:pos="3744"/>
        </w:tabs>
        <w:rPr>
          <w:rFonts w:ascii="Arial" w:hAnsi="Arial" w:cs="Arial"/>
        </w:rPr>
      </w:pPr>
      <w:r>
        <w:rPr>
          <w:rFonts w:ascii="Arial" w:hAnsi="Arial" w:cs="Arial"/>
        </w:rPr>
        <w:t xml:space="preserve">The </w:t>
      </w:r>
      <w:r w:rsidR="002B2BAD" w:rsidRPr="002B7F86">
        <w:rPr>
          <w:rFonts w:ascii="Arial" w:hAnsi="Arial" w:cs="Arial"/>
        </w:rPr>
        <w:t>Chief Executive c</w:t>
      </w:r>
      <w:r w:rsidRPr="002B7F86">
        <w:rPr>
          <w:rFonts w:ascii="Arial" w:hAnsi="Arial" w:cs="Arial"/>
        </w:rPr>
        <w:t>ould</w:t>
      </w:r>
      <w:r w:rsidR="002B2BAD" w:rsidRPr="002B7F86">
        <w:rPr>
          <w:rFonts w:ascii="Arial" w:hAnsi="Arial" w:cs="Arial"/>
        </w:rPr>
        <w:t xml:space="preserve"> waive reimbursement of </w:t>
      </w:r>
      <w:proofErr w:type="gramStart"/>
      <w:r w:rsidR="002B2BAD" w:rsidRPr="002B7F86">
        <w:rPr>
          <w:rFonts w:ascii="Arial" w:hAnsi="Arial" w:cs="Arial"/>
        </w:rPr>
        <w:t>part</w:t>
      </w:r>
      <w:proofErr w:type="gramEnd"/>
      <w:r w:rsidR="002B2BAD" w:rsidRPr="002B7F86">
        <w:rPr>
          <w:rFonts w:ascii="Arial" w:hAnsi="Arial" w:cs="Arial"/>
        </w:rPr>
        <w:t xml:space="preserve"> or all of the claims made in circumstances where the employee fails to meet the required standard within their Probationary Period</w:t>
      </w:r>
      <w:r w:rsidRPr="002B7F86">
        <w:rPr>
          <w:rFonts w:ascii="Arial" w:hAnsi="Arial" w:cs="Arial"/>
        </w:rPr>
        <w:t>.  I</w:t>
      </w:r>
      <w:r w:rsidR="002B2BAD" w:rsidRPr="002B7F86">
        <w:rPr>
          <w:rFonts w:ascii="Arial" w:hAnsi="Arial" w:cs="Arial"/>
        </w:rPr>
        <w:t xml:space="preserve">n these circumstances the Chief Executive could determine that no further claims could be reimbursed or that where the employee had already made claims this should be paid back. </w:t>
      </w:r>
    </w:p>
    <w:p w14:paraId="5719B585" w14:textId="77777777" w:rsidR="001F3E08" w:rsidRPr="001D5FCA" w:rsidRDefault="001F3E08" w:rsidP="001F3E08">
      <w:pPr>
        <w:tabs>
          <w:tab w:val="left" w:pos="720"/>
          <w:tab w:val="center" w:pos="1296"/>
          <w:tab w:val="left" w:pos="3744"/>
        </w:tabs>
        <w:jc w:val="both"/>
        <w:rPr>
          <w:rFonts w:ascii="Arial" w:hAnsi="Arial" w:cs="Arial"/>
        </w:rPr>
      </w:pPr>
    </w:p>
    <w:sectPr w:rsidR="001F3E08" w:rsidRPr="001D5FCA" w:rsidSect="00E346DE">
      <w:pgSz w:w="11906" w:h="16838"/>
      <w:pgMar w:top="1209" w:right="1134" w:bottom="1134" w:left="1134" w:header="709" w:footer="6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37AAD" w14:textId="77777777" w:rsidR="006440AA" w:rsidRDefault="006440AA">
      <w:r>
        <w:separator/>
      </w:r>
    </w:p>
  </w:endnote>
  <w:endnote w:type="continuationSeparator" w:id="0">
    <w:p w14:paraId="0B775ACD" w14:textId="77777777" w:rsidR="006440AA" w:rsidRDefault="0064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1341C" w14:textId="77777777" w:rsidR="00C62CBD" w:rsidRDefault="00C62CBD" w:rsidP="003521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F8FC73" w14:textId="77777777" w:rsidR="00C62CBD" w:rsidRDefault="00C62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BFF4" w14:textId="77777777" w:rsidR="00C62CBD" w:rsidRPr="002A2B64" w:rsidRDefault="00C62CBD" w:rsidP="002A2B64">
    <w:pPr>
      <w:pStyle w:val="Footer"/>
      <w:jc w:val="center"/>
      <w:rPr>
        <w:rFonts w:ascii="Arial" w:hAnsi="Arial" w:cs="Arial"/>
        <w:sz w:val="20"/>
        <w:szCs w:val="20"/>
      </w:rPr>
    </w:pPr>
    <w:r w:rsidRPr="002A2B64">
      <w:rPr>
        <w:rFonts w:ascii="Arial" w:hAnsi="Arial" w:cs="Arial"/>
        <w:sz w:val="20"/>
        <w:szCs w:val="20"/>
      </w:rPr>
      <w:t xml:space="preserve">Page </w:t>
    </w:r>
    <w:r w:rsidRPr="002A2B64">
      <w:rPr>
        <w:rFonts w:ascii="Arial" w:hAnsi="Arial" w:cs="Arial"/>
        <w:sz w:val="20"/>
        <w:szCs w:val="20"/>
      </w:rPr>
      <w:fldChar w:fldCharType="begin"/>
    </w:r>
    <w:r w:rsidRPr="002A2B64">
      <w:rPr>
        <w:rFonts w:ascii="Arial" w:hAnsi="Arial" w:cs="Arial"/>
        <w:sz w:val="20"/>
        <w:szCs w:val="20"/>
      </w:rPr>
      <w:instrText xml:space="preserve"> PAGE </w:instrText>
    </w:r>
    <w:r w:rsidRPr="002A2B64">
      <w:rPr>
        <w:rFonts w:ascii="Arial" w:hAnsi="Arial" w:cs="Arial"/>
        <w:sz w:val="20"/>
        <w:szCs w:val="20"/>
      </w:rPr>
      <w:fldChar w:fldCharType="separate"/>
    </w:r>
    <w:r w:rsidR="008C366A">
      <w:rPr>
        <w:rFonts w:ascii="Arial" w:hAnsi="Arial" w:cs="Arial"/>
        <w:noProof/>
        <w:sz w:val="20"/>
        <w:szCs w:val="20"/>
      </w:rPr>
      <w:t>1</w:t>
    </w:r>
    <w:r w:rsidRPr="002A2B64">
      <w:rPr>
        <w:rFonts w:ascii="Arial" w:hAnsi="Arial" w:cs="Arial"/>
        <w:sz w:val="20"/>
        <w:szCs w:val="20"/>
      </w:rPr>
      <w:fldChar w:fldCharType="end"/>
    </w:r>
    <w:r w:rsidRPr="002A2B64">
      <w:rPr>
        <w:rFonts w:ascii="Arial" w:hAnsi="Arial" w:cs="Arial"/>
        <w:sz w:val="20"/>
        <w:szCs w:val="20"/>
      </w:rPr>
      <w:t xml:space="preserve"> of </w:t>
    </w:r>
    <w:r w:rsidRPr="002A2B64">
      <w:rPr>
        <w:rFonts w:ascii="Arial" w:hAnsi="Arial" w:cs="Arial"/>
        <w:sz w:val="20"/>
        <w:szCs w:val="20"/>
      </w:rPr>
      <w:fldChar w:fldCharType="begin"/>
    </w:r>
    <w:r w:rsidRPr="002A2B64">
      <w:rPr>
        <w:rFonts w:ascii="Arial" w:hAnsi="Arial" w:cs="Arial"/>
        <w:sz w:val="20"/>
        <w:szCs w:val="20"/>
      </w:rPr>
      <w:instrText xml:space="preserve"> NUMPAGES </w:instrText>
    </w:r>
    <w:r w:rsidRPr="002A2B64">
      <w:rPr>
        <w:rFonts w:ascii="Arial" w:hAnsi="Arial" w:cs="Arial"/>
        <w:sz w:val="20"/>
        <w:szCs w:val="20"/>
      </w:rPr>
      <w:fldChar w:fldCharType="separate"/>
    </w:r>
    <w:r w:rsidR="008C366A">
      <w:rPr>
        <w:rFonts w:ascii="Arial" w:hAnsi="Arial" w:cs="Arial"/>
        <w:noProof/>
        <w:sz w:val="20"/>
        <w:szCs w:val="20"/>
      </w:rPr>
      <w:t>6</w:t>
    </w:r>
    <w:r w:rsidRPr="002A2B64">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3E942" w14:textId="77777777" w:rsidR="006440AA" w:rsidRDefault="006440AA">
      <w:r>
        <w:separator/>
      </w:r>
    </w:p>
  </w:footnote>
  <w:footnote w:type="continuationSeparator" w:id="0">
    <w:p w14:paraId="427C14AF" w14:textId="77777777" w:rsidR="006440AA" w:rsidRDefault="00644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2BC9E" w14:textId="0E60B2CC" w:rsidR="00C62CBD" w:rsidRPr="00E22AC4" w:rsidRDefault="00E22AC4" w:rsidP="00E22AC4">
    <w:pPr>
      <w:pStyle w:val="Header"/>
    </w:pPr>
    <w:r w:rsidRPr="00E22AC4">
      <w:t>Relocation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7515"/>
    <w:multiLevelType w:val="hybridMultilevel"/>
    <w:tmpl w:val="E78EDE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390FF0"/>
    <w:multiLevelType w:val="hybridMultilevel"/>
    <w:tmpl w:val="18689BC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3C40886"/>
    <w:multiLevelType w:val="multilevel"/>
    <w:tmpl w:val="785CCAB0"/>
    <w:lvl w:ilvl="0">
      <w:start w:val="1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A711FAB"/>
    <w:multiLevelType w:val="hybridMultilevel"/>
    <w:tmpl w:val="582C24C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22F6472"/>
    <w:multiLevelType w:val="multilevel"/>
    <w:tmpl w:val="6BC00B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BEC0272"/>
    <w:multiLevelType w:val="hybridMultilevel"/>
    <w:tmpl w:val="19DA27BA"/>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FFB4180"/>
    <w:multiLevelType w:val="multilevel"/>
    <w:tmpl w:val="F71A320E"/>
    <w:lvl w:ilvl="0">
      <w:start w:val="10"/>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65C6DE0"/>
    <w:multiLevelType w:val="multilevel"/>
    <w:tmpl w:val="E6C847D0"/>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59D32B0"/>
    <w:multiLevelType w:val="multilevel"/>
    <w:tmpl w:val="68AAC03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D2B5824"/>
    <w:multiLevelType w:val="hybridMultilevel"/>
    <w:tmpl w:val="6AEA156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34F73C2"/>
    <w:multiLevelType w:val="hybridMultilevel"/>
    <w:tmpl w:val="967A6EDA"/>
    <w:lvl w:ilvl="0" w:tplc="163A054C">
      <w:start w:val="1"/>
      <w:numFmt w:val="decimal"/>
      <w:pStyle w:val="Numberedheading2"/>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F2A44E8"/>
    <w:multiLevelType w:val="multilevel"/>
    <w:tmpl w:val="8E749FFA"/>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22620858">
    <w:abstractNumId w:val="10"/>
  </w:num>
  <w:num w:numId="2" w16cid:durableId="391006796">
    <w:abstractNumId w:val="1"/>
  </w:num>
  <w:num w:numId="3" w16cid:durableId="380791647">
    <w:abstractNumId w:val="8"/>
  </w:num>
  <w:num w:numId="4" w16cid:durableId="1703942909">
    <w:abstractNumId w:val="0"/>
  </w:num>
  <w:num w:numId="5" w16cid:durableId="202249956">
    <w:abstractNumId w:val="9"/>
  </w:num>
  <w:num w:numId="6" w16cid:durableId="1659572645">
    <w:abstractNumId w:val="3"/>
  </w:num>
  <w:num w:numId="7" w16cid:durableId="551042700">
    <w:abstractNumId w:val="4"/>
  </w:num>
  <w:num w:numId="8" w16cid:durableId="1376196285">
    <w:abstractNumId w:val="6"/>
  </w:num>
  <w:num w:numId="9" w16cid:durableId="385222353">
    <w:abstractNumId w:val="5"/>
  </w:num>
  <w:num w:numId="10" w16cid:durableId="793599291">
    <w:abstractNumId w:val="11"/>
  </w:num>
  <w:num w:numId="11" w16cid:durableId="1776749263">
    <w:abstractNumId w:val="7"/>
  </w:num>
  <w:num w:numId="12" w16cid:durableId="173443126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7D9"/>
    <w:rsid w:val="00005B04"/>
    <w:rsid w:val="00010A99"/>
    <w:rsid w:val="00012C4F"/>
    <w:rsid w:val="0002612B"/>
    <w:rsid w:val="000311A8"/>
    <w:rsid w:val="00044564"/>
    <w:rsid w:val="000508B0"/>
    <w:rsid w:val="00056C39"/>
    <w:rsid w:val="00082C1B"/>
    <w:rsid w:val="000B1E55"/>
    <w:rsid w:val="000B2FD1"/>
    <w:rsid w:val="000C2066"/>
    <w:rsid w:val="000C5A61"/>
    <w:rsid w:val="000C69E8"/>
    <w:rsid w:val="000E5D49"/>
    <w:rsid w:val="000F4E21"/>
    <w:rsid w:val="000F5E06"/>
    <w:rsid w:val="001410DF"/>
    <w:rsid w:val="00153EE7"/>
    <w:rsid w:val="00154EE7"/>
    <w:rsid w:val="00162B48"/>
    <w:rsid w:val="00163231"/>
    <w:rsid w:val="0016608D"/>
    <w:rsid w:val="00181D27"/>
    <w:rsid w:val="001912E9"/>
    <w:rsid w:val="001B5882"/>
    <w:rsid w:val="001B6893"/>
    <w:rsid w:val="001C459E"/>
    <w:rsid w:val="001D0305"/>
    <w:rsid w:val="001D1BB5"/>
    <w:rsid w:val="001E6096"/>
    <w:rsid w:val="001F3662"/>
    <w:rsid w:val="001F3E08"/>
    <w:rsid w:val="00206BE8"/>
    <w:rsid w:val="00210FA2"/>
    <w:rsid w:val="00211DB0"/>
    <w:rsid w:val="00212CB9"/>
    <w:rsid w:val="00217299"/>
    <w:rsid w:val="00220FFB"/>
    <w:rsid w:val="0022125A"/>
    <w:rsid w:val="002259FD"/>
    <w:rsid w:val="0023417D"/>
    <w:rsid w:val="002424E3"/>
    <w:rsid w:val="00254F03"/>
    <w:rsid w:val="00262C1A"/>
    <w:rsid w:val="002740DB"/>
    <w:rsid w:val="00277C16"/>
    <w:rsid w:val="00294B78"/>
    <w:rsid w:val="00297CCF"/>
    <w:rsid w:val="002A2B64"/>
    <w:rsid w:val="002A6908"/>
    <w:rsid w:val="002B2BAD"/>
    <w:rsid w:val="002B7F86"/>
    <w:rsid w:val="002D0110"/>
    <w:rsid w:val="002D500C"/>
    <w:rsid w:val="002E1128"/>
    <w:rsid w:val="002E2329"/>
    <w:rsid w:val="002E7D79"/>
    <w:rsid w:val="002F4C62"/>
    <w:rsid w:val="00301051"/>
    <w:rsid w:val="0030188E"/>
    <w:rsid w:val="00325B53"/>
    <w:rsid w:val="0035218D"/>
    <w:rsid w:val="0035299D"/>
    <w:rsid w:val="00397D2C"/>
    <w:rsid w:val="003B43C8"/>
    <w:rsid w:val="003E0390"/>
    <w:rsid w:val="004023A6"/>
    <w:rsid w:val="00405A7A"/>
    <w:rsid w:val="00411866"/>
    <w:rsid w:val="00413317"/>
    <w:rsid w:val="0043522C"/>
    <w:rsid w:val="004352ED"/>
    <w:rsid w:val="004605D0"/>
    <w:rsid w:val="004626EB"/>
    <w:rsid w:val="00466A72"/>
    <w:rsid w:val="0047151A"/>
    <w:rsid w:val="00472228"/>
    <w:rsid w:val="00472D07"/>
    <w:rsid w:val="00474FFA"/>
    <w:rsid w:val="00481C1A"/>
    <w:rsid w:val="00485C9F"/>
    <w:rsid w:val="00490815"/>
    <w:rsid w:val="00497D01"/>
    <w:rsid w:val="004A7939"/>
    <w:rsid w:val="004B64FB"/>
    <w:rsid w:val="004C731A"/>
    <w:rsid w:val="004D1556"/>
    <w:rsid w:val="004D265A"/>
    <w:rsid w:val="004E528C"/>
    <w:rsid w:val="004E766A"/>
    <w:rsid w:val="004F07CE"/>
    <w:rsid w:val="004F07FE"/>
    <w:rsid w:val="004F3E42"/>
    <w:rsid w:val="004F44DD"/>
    <w:rsid w:val="005073B7"/>
    <w:rsid w:val="00524D6D"/>
    <w:rsid w:val="00526229"/>
    <w:rsid w:val="00531760"/>
    <w:rsid w:val="00533A77"/>
    <w:rsid w:val="005543F7"/>
    <w:rsid w:val="0055480E"/>
    <w:rsid w:val="00555756"/>
    <w:rsid w:val="0056214E"/>
    <w:rsid w:val="005724CF"/>
    <w:rsid w:val="00574081"/>
    <w:rsid w:val="00580845"/>
    <w:rsid w:val="0058420C"/>
    <w:rsid w:val="00591A93"/>
    <w:rsid w:val="00593FAF"/>
    <w:rsid w:val="005A0D24"/>
    <w:rsid w:val="005A1D43"/>
    <w:rsid w:val="005A575E"/>
    <w:rsid w:val="005A6A64"/>
    <w:rsid w:val="005A752A"/>
    <w:rsid w:val="005B6FEE"/>
    <w:rsid w:val="005C3D61"/>
    <w:rsid w:val="005E276F"/>
    <w:rsid w:val="005F238A"/>
    <w:rsid w:val="005F42E7"/>
    <w:rsid w:val="005F4779"/>
    <w:rsid w:val="00601DB1"/>
    <w:rsid w:val="00603C7F"/>
    <w:rsid w:val="00615547"/>
    <w:rsid w:val="006223AA"/>
    <w:rsid w:val="006440AA"/>
    <w:rsid w:val="00646099"/>
    <w:rsid w:val="00661ECD"/>
    <w:rsid w:val="00670D45"/>
    <w:rsid w:val="00672EA5"/>
    <w:rsid w:val="00675475"/>
    <w:rsid w:val="00690D93"/>
    <w:rsid w:val="006B337D"/>
    <w:rsid w:val="006B4F49"/>
    <w:rsid w:val="006B5EAE"/>
    <w:rsid w:val="006D1E05"/>
    <w:rsid w:val="006E0EAC"/>
    <w:rsid w:val="006E6651"/>
    <w:rsid w:val="006F2A8A"/>
    <w:rsid w:val="006F5C29"/>
    <w:rsid w:val="007405F8"/>
    <w:rsid w:val="007433C7"/>
    <w:rsid w:val="00752997"/>
    <w:rsid w:val="00761373"/>
    <w:rsid w:val="0076492B"/>
    <w:rsid w:val="00792F0C"/>
    <w:rsid w:val="007A1966"/>
    <w:rsid w:val="007B6893"/>
    <w:rsid w:val="007B77D6"/>
    <w:rsid w:val="007C01D0"/>
    <w:rsid w:val="007C728E"/>
    <w:rsid w:val="007C7E93"/>
    <w:rsid w:val="007D1AE5"/>
    <w:rsid w:val="007D5A37"/>
    <w:rsid w:val="007E4877"/>
    <w:rsid w:val="007E56EF"/>
    <w:rsid w:val="007F2EB7"/>
    <w:rsid w:val="00801EC3"/>
    <w:rsid w:val="0080410C"/>
    <w:rsid w:val="00806FED"/>
    <w:rsid w:val="00820D5A"/>
    <w:rsid w:val="00825981"/>
    <w:rsid w:val="00833824"/>
    <w:rsid w:val="00842E2E"/>
    <w:rsid w:val="00861C9C"/>
    <w:rsid w:val="00864E20"/>
    <w:rsid w:val="00867FF5"/>
    <w:rsid w:val="00882BC3"/>
    <w:rsid w:val="00886456"/>
    <w:rsid w:val="008A3882"/>
    <w:rsid w:val="008B1605"/>
    <w:rsid w:val="008B3FC8"/>
    <w:rsid w:val="008B5371"/>
    <w:rsid w:val="008B6840"/>
    <w:rsid w:val="008C366A"/>
    <w:rsid w:val="008C7DDF"/>
    <w:rsid w:val="008E033F"/>
    <w:rsid w:val="008E67D9"/>
    <w:rsid w:val="008F76BD"/>
    <w:rsid w:val="00913F99"/>
    <w:rsid w:val="0091574C"/>
    <w:rsid w:val="00920291"/>
    <w:rsid w:val="0092246C"/>
    <w:rsid w:val="009270B9"/>
    <w:rsid w:val="00930D04"/>
    <w:rsid w:val="00930E8B"/>
    <w:rsid w:val="00936E60"/>
    <w:rsid w:val="00945192"/>
    <w:rsid w:val="00947507"/>
    <w:rsid w:val="00975174"/>
    <w:rsid w:val="009A5BE5"/>
    <w:rsid w:val="009C5B5F"/>
    <w:rsid w:val="009D196E"/>
    <w:rsid w:val="009E1190"/>
    <w:rsid w:val="009E2E2C"/>
    <w:rsid w:val="009F0468"/>
    <w:rsid w:val="00A033E9"/>
    <w:rsid w:val="00A17AD3"/>
    <w:rsid w:val="00A20696"/>
    <w:rsid w:val="00A320BC"/>
    <w:rsid w:val="00A37B82"/>
    <w:rsid w:val="00A476AB"/>
    <w:rsid w:val="00A611D5"/>
    <w:rsid w:val="00A763D6"/>
    <w:rsid w:val="00A765B4"/>
    <w:rsid w:val="00A86FDD"/>
    <w:rsid w:val="00A945F5"/>
    <w:rsid w:val="00AA3200"/>
    <w:rsid w:val="00AB5BD5"/>
    <w:rsid w:val="00AC7D2C"/>
    <w:rsid w:val="00AD78E5"/>
    <w:rsid w:val="00AE3625"/>
    <w:rsid w:val="00AF4CB1"/>
    <w:rsid w:val="00B402C1"/>
    <w:rsid w:val="00B40FE3"/>
    <w:rsid w:val="00B434E7"/>
    <w:rsid w:val="00B45489"/>
    <w:rsid w:val="00B50590"/>
    <w:rsid w:val="00B55558"/>
    <w:rsid w:val="00B61EA7"/>
    <w:rsid w:val="00B72ECB"/>
    <w:rsid w:val="00B82981"/>
    <w:rsid w:val="00B844E9"/>
    <w:rsid w:val="00B93057"/>
    <w:rsid w:val="00B93FEC"/>
    <w:rsid w:val="00B96586"/>
    <w:rsid w:val="00BA703F"/>
    <w:rsid w:val="00BA71AC"/>
    <w:rsid w:val="00BD4552"/>
    <w:rsid w:val="00BE4647"/>
    <w:rsid w:val="00C24560"/>
    <w:rsid w:val="00C40B80"/>
    <w:rsid w:val="00C43F2F"/>
    <w:rsid w:val="00C456C9"/>
    <w:rsid w:val="00C465A4"/>
    <w:rsid w:val="00C510F3"/>
    <w:rsid w:val="00C62CBD"/>
    <w:rsid w:val="00C670C6"/>
    <w:rsid w:val="00C77421"/>
    <w:rsid w:val="00CA465A"/>
    <w:rsid w:val="00CD30C1"/>
    <w:rsid w:val="00CE0759"/>
    <w:rsid w:val="00CE23EC"/>
    <w:rsid w:val="00CF20C5"/>
    <w:rsid w:val="00D009A1"/>
    <w:rsid w:val="00D07618"/>
    <w:rsid w:val="00D15782"/>
    <w:rsid w:val="00D225F4"/>
    <w:rsid w:val="00D301D0"/>
    <w:rsid w:val="00D3518B"/>
    <w:rsid w:val="00D47558"/>
    <w:rsid w:val="00D502B3"/>
    <w:rsid w:val="00D80E31"/>
    <w:rsid w:val="00D849D4"/>
    <w:rsid w:val="00DA0A9E"/>
    <w:rsid w:val="00DA4BF8"/>
    <w:rsid w:val="00DA5BB6"/>
    <w:rsid w:val="00DB2021"/>
    <w:rsid w:val="00DB71B8"/>
    <w:rsid w:val="00DC1817"/>
    <w:rsid w:val="00DD6463"/>
    <w:rsid w:val="00DD6867"/>
    <w:rsid w:val="00DD6C63"/>
    <w:rsid w:val="00DE2D47"/>
    <w:rsid w:val="00DF10C8"/>
    <w:rsid w:val="00E0242E"/>
    <w:rsid w:val="00E0477F"/>
    <w:rsid w:val="00E14286"/>
    <w:rsid w:val="00E208C5"/>
    <w:rsid w:val="00E22AC4"/>
    <w:rsid w:val="00E346DE"/>
    <w:rsid w:val="00E37A55"/>
    <w:rsid w:val="00E503C7"/>
    <w:rsid w:val="00E60D26"/>
    <w:rsid w:val="00E639FD"/>
    <w:rsid w:val="00E87EB1"/>
    <w:rsid w:val="00E95BF6"/>
    <w:rsid w:val="00EA1737"/>
    <w:rsid w:val="00EC24AF"/>
    <w:rsid w:val="00ED022B"/>
    <w:rsid w:val="00ED162C"/>
    <w:rsid w:val="00EE06C3"/>
    <w:rsid w:val="00EF3F70"/>
    <w:rsid w:val="00EF5FC4"/>
    <w:rsid w:val="00F04077"/>
    <w:rsid w:val="00F13361"/>
    <w:rsid w:val="00F15AA3"/>
    <w:rsid w:val="00F16A43"/>
    <w:rsid w:val="00F27DC8"/>
    <w:rsid w:val="00F4749E"/>
    <w:rsid w:val="00F5129F"/>
    <w:rsid w:val="00F51D44"/>
    <w:rsid w:val="00F525EB"/>
    <w:rsid w:val="00F5498F"/>
    <w:rsid w:val="00F54DC8"/>
    <w:rsid w:val="00F564FE"/>
    <w:rsid w:val="00F63661"/>
    <w:rsid w:val="00F66179"/>
    <w:rsid w:val="00F6644F"/>
    <w:rsid w:val="00FA50A5"/>
    <w:rsid w:val="00FB2768"/>
    <w:rsid w:val="00FC0250"/>
    <w:rsid w:val="00FD0205"/>
    <w:rsid w:val="00FD2CCE"/>
    <w:rsid w:val="00FF3AE1"/>
    <w:rsid w:val="00FF5BC9"/>
    <w:rsid w:val="00FF7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38EC517"/>
  <w15:chartTrackingRefBased/>
  <w15:docId w15:val="{6952DA05-1672-45E6-9DB7-FD2D1773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56C9"/>
    <w:rPr>
      <w:sz w:val="24"/>
      <w:szCs w:val="24"/>
    </w:rPr>
  </w:style>
  <w:style w:type="paragraph" w:styleId="Heading2">
    <w:name w:val="heading 2"/>
    <w:basedOn w:val="Normal"/>
    <w:next w:val="Normal"/>
    <w:link w:val="Heading2Char"/>
    <w:semiHidden/>
    <w:unhideWhenUsed/>
    <w:qFormat/>
    <w:rsid w:val="00E22AC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6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E67D9"/>
    <w:pPr>
      <w:tabs>
        <w:tab w:val="center" w:pos="4153"/>
        <w:tab w:val="right" w:pos="8306"/>
      </w:tabs>
    </w:pPr>
  </w:style>
  <w:style w:type="character" w:styleId="PageNumber">
    <w:name w:val="page number"/>
    <w:basedOn w:val="DefaultParagraphFont"/>
    <w:rsid w:val="008E67D9"/>
  </w:style>
  <w:style w:type="paragraph" w:styleId="Header">
    <w:name w:val="header"/>
    <w:basedOn w:val="Normal"/>
    <w:rsid w:val="00E22AC4"/>
    <w:pPr>
      <w:tabs>
        <w:tab w:val="center" w:pos="4153"/>
        <w:tab w:val="right" w:pos="8306"/>
      </w:tabs>
    </w:pPr>
    <w:rPr>
      <w:rFonts w:ascii="Arial" w:hAnsi="Arial"/>
      <w:color w:val="000000" w:themeColor="text1"/>
      <w:sz w:val="20"/>
    </w:rPr>
  </w:style>
  <w:style w:type="paragraph" w:customStyle="1" w:styleId="defaulttext17">
    <w:name w:val="default_text_17"/>
    <w:basedOn w:val="Normal"/>
    <w:rsid w:val="00F564FE"/>
    <w:pPr>
      <w:spacing w:before="100" w:beforeAutospacing="1" w:after="100" w:afterAutospacing="1"/>
    </w:pPr>
  </w:style>
  <w:style w:type="paragraph" w:styleId="BodyText">
    <w:name w:val="Body Text"/>
    <w:basedOn w:val="Normal"/>
    <w:rsid w:val="00913F99"/>
    <w:pPr>
      <w:tabs>
        <w:tab w:val="left" w:pos="720"/>
        <w:tab w:val="center" w:pos="1296"/>
        <w:tab w:val="left" w:pos="3744"/>
      </w:tabs>
      <w:spacing w:before="240" w:after="240"/>
      <w:ind w:left="720" w:hanging="720"/>
      <w:jc w:val="both"/>
    </w:pPr>
    <w:rPr>
      <w:rFonts w:ascii="Arial" w:hAnsi="Arial"/>
      <w:color w:val="000000" w:themeColor="text1"/>
      <w:szCs w:val="20"/>
    </w:rPr>
  </w:style>
  <w:style w:type="paragraph" w:styleId="Title">
    <w:name w:val="Title"/>
    <w:basedOn w:val="Normal"/>
    <w:qFormat/>
    <w:rsid w:val="001F3E08"/>
    <w:pPr>
      <w:tabs>
        <w:tab w:val="left" w:pos="720"/>
        <w:tab w:val="center" w:pos="1296"/>
        <w:tab w:val="left" w:pos="3744"/>
      </w:tabs>
      <w:jc w:val="center"/>
    </w:pPr>
    <w:rPr>
      <w:b/>
      <w:sz w:val="32"/>
      <w:szCs w:val="20"/>
      <w:u w:val="single"/>
    </w:rPr>
  </w:style>
  <w:style w:type="paragraph" w:styleId="Subtitle">
    <w:name w:val="Subtitle"/>
    <w:basedOn w:val="Normal"/>
    <w:qFormat/>
    <w:rsid w:val="001F3E08"/>
    <w:pPr>
      <w:tabs>
        <w:tab w:val="left" w:pos="720"/>
        <w:tab w:val="center" w:pos="1296"/>
        <w:tab w:val="left" w:pos="3744"/>
      </w:tabs>
      <w:jc w:val="center"/>
    </w:pPr>
    <w:rPr>
      <w:b/>
      <w:szCs w:val="20"/>
      <w:u w:val="single"/>
    </w:rPr>
  </w:style>
  <w:style w:type="character" w:styleId="Hyperlink">
    <w:name w:val="Hyperlink"/>
    <w:rsid w:val="007E4877"/>
    <w:rPr>
      <w:color w:val="0000FF"/>
      <w:u w:val="single"/>
    </w:rPr>
  </w:style>
  <w:style w:type="paragraph" w:styleId="BalloonText">
    <w:name w:val="Balloon Text"/>
    <w:basedOn w:val="Normal"/>
    <w:semiHidden/>
    <w:rsid w:val="00867FF5"/>
    <w:rPr>
      <w:rFonts w:ascii="Tahoma" w:hAnsi="Tahoma" w:cs="Tahoma"/>
      <w:sz w:val="16"/>
      <w:szCs w:val="16"/>
    </w:rPr>
  </w:style>
  <w:style w:type="paragraph" w:customStyle="1" w:styleId="Frontcoverheading">
    <w:name w:val="Front cover heading"/>
    <w:basedOn w:val="Normal"/>
    <w:qFormat/>
    <w:rsid w:val="002E7D79"/>
    <w:pPr>
      <w:spacing w:before="360" w:after="360"/>
      <w:jc w:val="center"/>
    </w:pPr>
    <w:rPr>
      <w:rFonts w:ascii="Arial" w:hAnsi="Arial"/>
      <w:b/>
      <w:color w:val="000000" w:themeColor="text1"/>
      <w:sz w:val="40"/>
      <w:szCs w:val="40"/>
    </w:rPr>
  </w:style>
  <w:style w:type="table" w:styleId="TableGrid1">
    <w:name w:val="Table Grid 1"/>
    <w:basedOn w:val="TableNormal"/>
    <w:rsid w:val="002E7D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umberedheading2">
    <w:name w:val="Numbered heading 2"/>
    <w:basedOn w:val="Heading2"/>
    <w:qFormat/>
    <w:rsid w:val="00E22AC4"/>
    <w:pPr>
      <w:numPr>
        <w:numId w:val="1"/>
      </w:numPr>
      <w:tabs>
        <w:tab w:val="clear" w:pos="1080"/>
        <w:tab w:val="num" w:pos="720"/>
      </w:tabs>
      <w:spacing w:before="240" w:after="240"/>
      <w:ind w:left="1077" w:hanging="1077"/>
      <w:jc w:val="both"/>
    </w:pPr>
    <w:rPr>
      <w:rFonts w:ascii="Arial" w:hAnsi="Arial"/>
      <w:b/>
      <w:color w:val="000000" w:themeColor="text1"/>
      <w:sz w:val="28"/>
    </w:rPr>
  </w:style>
  <w:style w:type="character" w:customStyle="1" w:styleId="Heading2Char">
    <w:name w:val="Heading 2 Char"/>
    <w:basedOn w:val="DefaultParagraphFont"/>
    <w:link w:val="Heading2"/>
    <w:semiHidden/>
    <w:rsid w:val="00E22AC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mr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2b34e-0bec-4698-9443-e54c1d6c1a4e">
      <Terms xmlns="http://schemas.microsoft.com/office/infopath/2007/PartnerControls"/>
    </lcf76f155ced4ddcb4097134ff3c332f>
    <_ip_UnifiedCompliancePolicyProperties xmlns="http://schemas.microsoft.com/sharepoint/v3" xsi:nil="true"/>
    <TaxCatchAll xmlns="065c7180-8096-46be-8663-611465dee428" xsi:nil="true"/>
    <Transferred_x003f_ xmlns="e402b34e-0bec-4698-9443-e54c1d6c1a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21" ma:contentTypeDescription="Create a new document." ma:contentTypeScope="" ma:versionID="af7f3e0ab544a40883fa4ed4bbb61e81">
  <xsd:schema xmlns:xsd="http://www.w3.org/2001/XMLSchema" xmlns:xs="http://www.w3.org/2001/XMLSchema" xmlns:p="http://schemas.microsoft.com/office/2006/metadata/properties" xmlns:ns1="http://schemas.microsoft.com/sharepoint/v3" xmlns:ns2="e402b34e-0bec-4698-9443-e54c1d6c1a4e" xmlns:ns3="065c7180-8096-46be-8663-611465dee428" targetNamespace="http://schemas.microsoft.com/office/2006/metadata/properties" ma:root="true" ma:fieldsID="bfc7a2a1f81df9e7920c41dca6a7ec08" ns1:_="" ns2:_="" ns3:_="">
    <xsd:import namespace="http://schemas.microsoft.com/sharepoint/v3"/>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element ref="ns2:Transferred_x003f_"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Transferred_x003f_" ma:index="27" nillable="true" ma:displayName="Transferred?" ma:format="Dropdown" ma:internalName="Transferred_x003f_">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88f0d6-fcd7-4fcb-9afb-ff18431315c4}" ma:internalName="TaxCatchAll" ma:showField="CatchAllData" ma:web="065c7180-8096-46be-8663-611465dee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D67846-CA29-49E8-A94F-4DEAB6150ACC}">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065c7180-8096-46be-8663-611465dee428"/>
    <ds:schemaRef ds:uri="http://purl.org/dc/terms/"/>
    <ds:schemaRef ds:uri="e402b34e-0bec-4698-9443-e54c1d6c1a4e"/>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D89EDE49-6AD0-4F2D-BA31-2B5771DE932A}">
  <ds:schemaRefs>
    <ds:schemaRef ds:uri="http://schemas.microsoft.com/sharepoint/v3/contenttype/forms"/>
  </ds:schemaRefs>
</ds:datastoreItem>
</file>

<file path=customXml/itemProps3.xml><?xml version="1.0" encoding="utf-8"?>
<ds:datastoreItem xmlns:ds="http://schemas.openxmlformats.org/officeDocument/2006/customXml" ds:itemID="{A60279F8-D659-4126-9801-7D811409D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2b34e-0bec-4698-9443-e54c1d6c1a4e"/>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1634</Words>
  <Characters>9316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Ashfield District Council</Company>
  <LinksUpToDate>false</LinksUpToDate>
  <CharactersWithSpaces>10929</CharactersWithSpaces>
  <SharedDoc>false</SharedDoc>
  <HLinks>
    <vt:vector size="6" baseType="variant">
      <vt:variant>
        <vt:i4>3473466</vt:i4>
      </vt:variant>
      <vt:variant>
        <vt:i4>0</vt:i4>
      </vt:variant>
      <vt:variant>
        <vt:i4>0</vt:i4>
      </vt:variant>
      <vt:variant>
        <vt:i4>5</vt:i4>
      </vt:variant>
      <vt:variant>
        <vt:lpwstr>http://www.hmrc.gov.uk/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Felton</dc:creator>
  <cp:keywords/>
  <cp:lastModifiedBy>Ben.Evans</cp:lastModifiedBy>
  <cp:revision>2</cp:revision>
  <cp:lastPrinted>2014-03-06T12:13:00Z</cp:lastPrinted>
  <dcterms:created xsi:type="dcterms:W3CDTF">2024-05-23T09:26:00Z</dcterms:created>
  <dcterms:modified xsi:type="dcterms:W3CDTF">2024-05-23T09:26:00Z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0x01010094788ADE9182D3409640B32ABC7914B2</vt:lpwstr>
  </property>
</Properties>
</file>